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C596" w14:textId="77777777" w:rsidR="0063023F" w:rsidRDefault="0063023F"/>
    <w:p w14:paraId="52FB003B" w14:textId="77777777" w:rsidR="0063023F" w:rsidRPr="003105B0" w:rsidRDefault="0063023F" w:rsidP="0063023F">
      <w:pPr>
        <w:spacing w:after="0"/>
        <w:jc w:val="both"/>
        <w:rPr>
          <w:rFonts w:cs="Calibri"/>
          <w:bCs/>
        </w:rPr>
      </w:pPr>
    </w:p>
    <w:p w14:paraId="0244B147" w14:textId="77777777" w:rsidR="0063023F" w:rsidRPr="003105B0" w:rsidRDefault="0063023F" w:rsidP="0063023F">
      <w:pPr>
        <w:spacing w:after="0"/>
        <w:jc w:val="both"/>
        <w:rPr>
          <w:rFonts w:cs="Calibri"/>
          <w:bCs/>
        </w:rPr>
      </w:pPr>
    </w:p>
    <w:p w14:paraId="20519C1B" w14:textId="77777777" w:rsidR="0063023F" w:rsidRPr="003105B0" w:rsidRDefault="0063023F" w:rsidP="0063023F">
      <w:pPr>
        <w:spacing w:after="0"/>
        <w:jc w:val="both"/>
        <w:rPr>
          <w:rFonts w:cs="Calibri"/>
          <w:bCs/>
        </w:rPr>
      </w:pPr>
    </w:p>
    <w:p w14:paraId="75DE6AD6" w14:textId="77777777" w:rsidR="0063023F" w:rsidRPr="003105B0" w:rsidRDefault="0063023F" w:rsidP="0063023F">
      <w:pPr>
        <w:spacing w:after="0"/>
        <w:jc w:val="both"/>
        <w:rPr>
          <w:rFonts w:cs="Calibri"/>
          <w:bCs/>
        </w:rPr>
      </w:pPr>
    </w:p>
    <w:p w14:paraId="70B578F8" w14:textId="77777777" w:rsidR="0063023F" w:rsidRPr="003105B0" w:rsidRDefault="0063023F" w:rsidP="0063023F">
      <w:pPr>
        <w:spacing w:after="0"/>
        <w:jc w:val="both"/>
        <w:rPr>
          <w:rFonts w:cs="Calibri"/>
          <w:bCs/>
        </w:rPr>
      </w:pPr>
    </w:p>
    <w:p w14:paraId="7CEEAB37" w14:textId="77777777" w:rsidR="0063023F" w:rsidRPr="003105B0" w:rsidRDefault="0063023F" w:rsidP="0063023F">
      <w:pPr>
        <w:spacing w:after="0"/>
        <w:jc w:val="both"/>
        <w:rPr>
          <w:rFonts w:cs="Calibri"/>
          <w:bCs/>
        </w:rPr>
      </w:pPr>
    </w:p>
    <w:p w14:paraId="6B2B5730" w14:textId="77777777" w:rsidR="0063023F" w:rsidRPr="003105B0" w:rsidRDefault="0063023F" w:rsidP="0063023F">
      <w:pPr>
        <w:spacing w:after="0"/>
        <w:jc w:val="both"/>
        <w:rPr>
          <w:rFonts w:cs="Calibri"/>
          <w:bCs/>
        </w:rPr>
      </w:pPr>
    </w:p>
    <w:p w14:paraId="78BCB02A" w14:textId="77777777" w:rsidR="0063023F" w:rsidRPr="003105B0" w:rsidRDefault="0063023F" w:rsidP="0063023F">
      <w:pPr>
        <w:spacing w:after="0"/>
        <w:jc w:val="both"/>
        <w:rPr>
          <w:rFonts w:cs="Calibri"/>
          <w:bCs/>
        </w:rPr>
      </w:pPr>
    </w:p>
    <w:p w14:paraId="79BF3277" w14:textId="77777777" w:rsidR="0063023F" w:rsidRPr="003105B0" w:rsidRDefault="0063023F" w:rsidP="0063023F">
      <w:pPr>
        <w:spacing w:after="0"/>
        <w:jc w:val="both"/>
        <w:rPr>
          <w:rFonts w:cs="Calibri"/>
          <w:bCs/>
        </w:rPr>
      </w:pPr>
    </w:p>
    <w:p w14:paraId="36FFFF22" w14:textId="77777777" w:rsidR="0063023F" w:rsidRPr="003105B0" w:rsidRDefault="0063023F" w:rsidP="0063023F">
      <w:pPr>
        <w:spacing w:after="0"/>
        <w:jc w:val="both"/>
        <w:rPr>
          <w:rFonts w:cs="Calibri"/>
          <w:bCs/>
        </w:rPr>
      </w:pPr>
    </w:p>
    <w:p w14:paraId="15EB9797" w14:textId="77777777" w:rsidR="0063023F" w:rsidRPr="003105B0" w:rsidRDefault="0063023F" w:rsidP="0063023F">
      <w:pPr>
        <w:spacing w:after="0"/>
        <w:jc w:val="both"/>
        <w:rPr>
          <w:rFonts w:cs="Calibri"/>
          <w:bCs/>
        </w:rPr>
      </w:pPr>
    </w:p>
    <w:p w14:paraId="0A234656" w14:textId="77777777" w:rsidR="0063023F" w:rsidRPr="003105B0" w:rsidRDefault="0063023F" w:rsidP="0063023F">
      <w:pPr>
        <w:spacing w:after="0"/>
        <w:jc w:val="both"/>
        <w:rPr>
          <w:rFonts w:cs="Calibri"/>
          <w:bCs/>
        </w:rPr>
      </w:pPr>
    </w:p>
    <w:p w14:paraId="064E19DA" w14:textId="77777777" w:rsidR="0063023F" w:rsidRPr="003105B0" w:rsidRDefault="0063023F" w:rsidP="0063023F">
      <w:pPr>
        <w:spacing w:after="0"/>
        <w:jc w:val="both"/>
        <w:rPr>
          <w:rFonts w:cs="Calibri"/>
          <w:bCs/>
        </w:rPr>
      </w:pPr>
    </w:p>
    <w:p w14:paraId="7D42740B" w14:textId="77777777" w:rsidR="0063023F" w:rsidRPr="003105B0" w:rsidRDefault="0063023F" w:rsidP="0063023F">
      <w:pPr>
        <w:spacing w:after="0"/>
        <w:jc w:val="both"/>
        <w:rPr>
          <w:rFonts w:cs="Calibri"/>
          <w:bCs/>
        </w:rPr>
      </w:pPr>
    </w:p>
    <w:p w14:paraId="796ABE82"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0F1B6C74"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2A1C4EEC" w14:textId="77777777" w:rsidR="0063023F" w:rsidRPr="003105B0" w:rsidRDefault="0063023F" w:rsidP="0063023F">
      <w:pPr>
        <w:spacing w:after="0"/>
        <w:jc w:val="center"/>
        <w:rPr>
          <w:rFonts w:cs="Calibri"/>
          <w:bCs/>
          <w:sz w:val="48"/>
          <w:szCs w:val="48"/>
        </w:rPr>
      </w:pPr>
    </w:p>
    <w:p w14:paraId="1B0C70BB" w14:textId="5B908802" w:rsidR="0063023F" w:rsidRPr="003105B0" w:rsidRDefault="00D628DC" w:rsidP="0063023F">
      <w:pPr>
        <w:spacing w:after="0"/>
        <w:jc w:val="center"/>
        <w:rPr>
          <w:rFonts w:cs="Calibri"/>
          <w:bCs/>
          <w:sz w:val="48"/>
          <w:szCs w:val="48"/>
        </w:rPr>
      </w:pPr>
      <w:r w:rsidRPr="00D628DC">
        <w:rPr>
          <w:rFonts w:cs="Calibri"/>
          <w:bCs/>
          <w:sz w:val="48"/>
          <w:szCs w:val="48"/>
        </w:rPr>
        <w:t>Konstrukcje żelbetowe</w:t>
      </w:r>
    </w:p>
    <w:p w14:paraId="474D63DD" w14:textId="09CC9815" w:rsidR="0063023F" w:rsidRPr="003105B0" w:rsidRDefault="00D628DC" w:rsidP="0063023F">
      <w:pPr>
        <w:spacing w:after="0"/>
        <w:jc w:val="center"/>
        <w:rPr>
          <w:rFonts w:cs="Calibri"/>
          <w:bCs/>
          <w:sz w:val="48"/>
          <w:szCs w:val="48"/>
        </w:rPr>
      </w:pPr>
      <w:r w:rsidRPr="00D628DC">
        <w:rPr>
          <w:rFonts w:cs="Calibri"/>
          <w:bCs/>
          <w:sz w:val="48"/>
          <w:szCs w:val="48"/>
        </w:rPr>
        <w:t>B.02.00.00</w:t>
      </w:r>
      <w:r w:rsidR="00D16D1E">
        <w:rPr>
          <w:rFonts w:cs="Calibri"/>
          <w:bCs/>
          <w:sz w:val="48"/>
          <w:szCs w:val="48"/>
        </w:rPr>
        <w:t>-1</w:t>
      </w:r>
    </w:p>
    <w:p w14:paraId="7EFCFC62" w14:textId="77777777" w:rsidR="0063023F" w:rsidRPr="003105B0" w:rsidRDefault="0063023F" w:rsidP="00DC5CA3">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4A6B3968" w14:textId="77777777" w:rsidR="0063023F" w:rsidRPr="003105B0" w:rsidRDefault="0063023F" w:rsidP="00DC5CA3">
      <w:pPr>
        <w:pStyle w:val="Akapitzlist"/>
        <w:numPr>
          <w:ilvl w:val="1"/>
          <w:numId w:val="1"/>
        </w:numPr>
        <w:spacing w:after="0"/>
        <w:jc w:val="both"/>
        <w:rPr>
          <w:rFonts w:cs="Calibri"/>
          <w:b/>
          <w:bCs/>
        </w:rPr>
      </w:pPr>
      <w:r w:rsidRPr="003105B0">
        <w:rPr>
          <w:rFonts w:cs="Calibri"/>
          <w:b/>
          <w:bCs/>
        </w:rPr>
        <w:t>Przedmiot i zakres specyfikacji</w:t>
      </w:r>
    </w:p>
    <w:p w14:paraId="0E8623B9" w14:textId="3DB86DB4" w:rsidR="0017551C" w:rsidRDefault="00837586" w:rsidP="0063023F">
      <w:pPr>
        <w:spacing w:after="0"/>
        <w:jc w:val="both"/>
        <w:rPr>
          <w:rFonts w:cs="Calibri"/>
          <w:bCs/>
        </w:rPr>
      </w:pPr>
      <w:r w:rsidRPr="00837586">
        <w:rPr>
          <w:rFonts w:cs="Calibri"/>
          <w:bCs/>
        </w:rPr>
        <w:t xml:space="preserve">Niniejszy tom specyfikacji obejmuje wymagania wykonania i odbioru robót </w:t>
      </w:r>
      <w:r w:rsidR="00374B7D">
        <w:rPr>
          <w:rFonts w:cs="Calibri"/>
          <w:bCs/>
        </w:rPr>
        <w:t>żelbetowych i betonowych</w:t>
      </w:r>
      <w:r w:rsidRPr="00837586">
        <w:rPr>
          <w:rFonts w:cs="Calibri"/>
          <w:bCs/>
        </w:rPr>
        <w:t xml:space="preserve"> dla inwestycji </w:t>
      </w:r>
      <w:r w:rsidR="00E91FA3" w:rsidRPr="00E91FA3">
        <w:rPr>
          <w:rFonts w:cs="Calibri"/>
        </w:rPr>
        <w:t>Dostosowanie budynku przy ul. Zamkowej 6 w Pabianicach do potrzeb osób z niepełnosprawnościami</w:t>
      </w:r>
      <w:r w:rsidRPr="00837586">
        <w:rPr>
          <w:rFonts w:cs="Calibri"/>
          <w:bCs/>
        </w:rPr>
        <w:t>.</w:t>
      </w:r>
    </w:p>
    <w:p w14:paraId="4B153AFC" w14:textId="77777777" w:rsidR="00CB7171" w:rsidRDefault="00CB7171" w:rsidP="00CB7171">
      <w:pPr>
        <w:spacing w:after="0"/>
        <w:jc w:val="both"/>
        <w:rPr>
          <w:rFonts w:cs="Calibri"/>
          <w:b/>
          <w:bCs/>
        </w:rPr>
      </w:pPr>
      <w:r w:rsidRPr="00CB7171">
        <w:rPr>
          <w:rFonts w:cs="Calibri"/>
          <w:b/>
          <w:bCs/>
        </w:rPr>
        <w:t>Klasyfikacja robót wg Wspólnego Słownika Zamówień (CPV).</w:t>
      </w:r>
    </w:p>
    <w:p w14:paraId="0884BA08" w14:textId="77777777" w:rsidR="00AC274D" w:rsidRDefault="00AC274D" w:rsidP="00AC274D">
      <w:pPr>
        <w:spacing w:after="0"/>
        <w:jc w:val="both"/>
        <w:rPr>
          <w:rFonts w:cs="Calibri"/>
          <w:bCs/>
        </w:rPr>
      </w:pPr>
      <w:r w:rsidRPr="00AC274D">
        <w:rPr>
          <w:rFonts w:cs="Calibri"/>
          <w:bCs/>
        </w:rPr>
        <w:t>45262311-4 Betonowanie konstrukcji</w:t>
      </w:r>
    </w:p>
    <w:p w14:paraId="66E16845" w14:textId="77777777" w:rsidR="00AC274D" w:rsidRDefault="00AC274D" w:rsidP="00AC274D">
      <w:pPr>
        <w:spacing w:after="0"/>
        <w:jc w:val="both"/>
        <w:rPr>
          <w:rFonts w:cs="Calibri"/>
          <w:bCs/>
        </w:rPr>
      </w:pPr>
      <w:r>
        <w:rPr>
          <w:rFonts w:cs="Calibri"/>
          <w:bCs/>
        </w:rPr>
        <w:t>45223500-1 Konstrukcje z betonu zbrojonego</w:t>
      </w:r>
    </w:p>
    <w:p w14:paraId="706A1513" w14:textId="77777777" w:rsidR="00CB7171" w:rsidRDefault="00CB7171" w:rsidP="00DC5CA3">
      <w:pPr>
        <w:pStyle w:val="Akapitzlist"/>
        <w:numPr>
          <w:ilvl w:val="1"/>
          <w:numId w:val="1"/>
        </w:numPr>
        <w:spacing w:after="0"/>
        <w:jc w:val="both"/>
        <w:rPr>
          <w:rFonts w:cs="Calibri"/>
          <w:b/>
          <w:bCs/>
        </w:rPr>
      </w:pPr>
      <w:r>
        <w:rPr>
          <w:rFonts w:cs="Calibri"/>
          <w:b/>
          <w:bCs/>
        </w:rPr>
        <w:t>Zakres stosowania specyfikacji</w:t>
      </w:r>
    </w:p>
    <w:p w14:paraId="30B77D54" w14:textId="77777777" w:rsidR="00CB7171" w:rsidRDefault="00CB7171" w:rsidP="00CB7171">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14:paraId="0A4FCA13" w14:textId="77777777" w:rsidR="00AC274D" w:rsidRPr="00A96882" w:rsidRDefault="00AC274D" w:rsidP="00DC5CA3">
      <w:pPr>
        <w:pStyle w:val="Akapitzlist"/>
        <w:numPr>
          <w:ilvl w:val="1"/>
          <w:numId w:val="1"/>
        </w:numPr>
        <w:spacing w:after="0"/>
        <w:jc w:val="both"/>
        <w:rPr>
          <w:rFonts w:cs="Calibri"/>
          <w:b/>
          <w:bCs/>
        </w:rPr>
      </w:pPr>
      <w:r w:rsidRPr="00A96882">
        <w:rPr>
          <w:rFonts w:cs="Calibri"/>
          <w:b/>
          <w:bCs/>
        </w:rPr>
        <w:t>Określenia podstawowe</w:t>
      </w:r>
    </w:p>
    <w:p w14:paraId="3207E41D" w14:textId="77777777" w:rsidR="00AC274D" w:rsidRPr="00BD6A26" w:rsidRDefault="00AC274D" w:rsidP="00AC274D">
      <w:pPr>
        <w:spacing w:after="0"/>
        <w:jc w:val="both"/>
        <w:rPr>
          <w:rFonts w:cs="Calibri"/>
          <w:bCs/>
        </w:rPr>
      </w:pPr>
      <w:r w:rsidRPr="00BD6A26">
        <w:rPr>
          <w:rFonts w:cs="Calibri"/>
          <w:bCs/>
        </w:rPr>
        <w:t>Określenia podstawowe, użyte w niniejszej specyfikacji, są zgodne z obowiązującymi odpowiednimi normami i określeniami zawartymi w ST – Wymagania ogólne. Oprócz tego występują dodatkowe określenia:</w:t>
      </w:r>
    </w:p>
    <w:p w14:paraId="73C702A0" w14:textId="77777777" w:rsidR="00AC274D" w:rsidRPr="00BD6A26" w:rsidRDefault="00AC274D" w:rsidP="00AC274D">
      <w:pPr>
        <w:spacing w:after="0"/>
        <w:jc w:val="both"/>
        <w:rPr>
          <w:rFonts w:cs="Calibri"/>
          <w:bCs/>
        </w:rPr>
      </w:pPr>
      <w:r w:rsidRPr="00BD6A26">
        <w:rPr>
          <w:rFonts w:cs="Calibri"/>
          <w:b/>
          <w:bCs/>
        </w:rPr>
        <w:t>Beton zwykły</w:t>
      </w:r>
      <w:r w:rsidRPr="00BD6A26">
        <w:rPr>
          <w:rFonts w:cs="Calibri"/>
          <w:bCs/>
        </w:rPr>
        <w:t xml:space="preserve"> - beton o gęstości objętościowej powyżej 2000 kg/m</w:t>
      </w:r>
      <w:r w:rsidRPr="00BD6A26">
        <w:rPr>
          <w:rFonts w:cs="Calibri"/>
          <w:bCs/>
          <w:vertAlign w:val="superscript"/>
        </w:rPr>
        <w:t>3</w:t>
      </w:r>
      <w:r>
        <w:rPr>
          <w:rFonts w:cs="Calibri"/>
          <w:bCs/>
        </w:rPr>
        <w:t xml:space="preserve"> </w:t>
      </w:r>
      <w:r w:rsidRPr="00BD6A26">
        <w:rPr>
          <w:rFonts w:cs="Calibri"/>
          <w:bCs/>
        </w:rPr>
        <w:t>wykonany z cementu, wody, kruszywa</w:t>
      </w:r>
      <w:r>
        <w:rPr>
          <w:rFonts w:cs="Calibri"/>
          <w:bCs/>
        </w:rPr>
        <w:t xml:space="preserve"> </w:t>
      </w:r>
      <w:r w:rsidRPr="00BD6A26">
        <w:rPr>
          <w:rFonts w:cs="Calibri"/>
          <w:bCs/>
        </w:rPr>
        <w:t>mineralnego o frakcjach piaskowych i grubszych oraz ewentualnych dodatków mineralnych i domieszek</w:t>
      </w:r>
      <w:r>
        <w:rPr>
          <w:rFonts w:cs="Calibri"/>
          <w:bCs/>
        </w:rPr>
        <w:t xml:space="preserve"> </w:t>
      </w:r>
      <w:r w:rsidRPr="00BD6A26">
        <w:rPr>
          <w:rFonts w:cs="Calibri"/>
          <w:bCs/>
        </w:rPr>
        <w:t>chemicznych.</w:t>
      </w:r>
    </w:p>
    <w:p w14:paraId="34BCA904" w14:textId="77777777" w:rsidR="00AC274D" w:rsidRPr="00BD6A26" w:rsidRDefault="00AC274D" w:rsidP="00AC274D">
      <w:pPr>
        <w:spacing w:after="0"/>
        <w:jc w:val="both"/>
        <w:rPr>
          <w:rFonts w:cs="Calibri"/>
          <w:bCs/>
        </w:rPr>
      </w:pPr>
      <w:r w:rsidRPr="00BD6A26">
        <w:rPr>
          <w:rFonts w:cs="Calibri"/>
          <w:b/>
          <w:bCs/>
        </w:rPr>
        <w:t>Mieszanka betonowa</w:t>
      </w:r>
      <w:r w:rsidRPr="00BD6A26">
        <w:rPr>
          <w:rFonts w:cs="Calibri"/>
          <w:bCs/>
        </w:rPr>
        <w:t xml:space="preserve"> - mieszanina wszystkich składników przed związaniem betonu.</w:t>
      </w:r>
    </w:p>
    <w:p w14:paraId="44ACBFB7" w14:textId="77777777" w:rsidR="00AC274D" w:rsidRPr="00BD6A26" w:rsidRDefault="00AC274D" w:rsidP="00AC274D">
      <w:pPr>
        <w:spacing w:after="0"/>
        <w:jc w:val="both"/>
        <w:rPr>
          <w:rFonts w:cs="Calibri"/>
          <w:bCs/>
        </w:rPr>
      </w:pPr>
      <w:r w:rsidRPr="00BD6A26">
        <w:rPr>
          <w:rFonts w:cs="Calibri"/>
          <w:b/>
          <w:bCs/>
        </w:rPr>
        <w:t>Zaczyn cementowy</w:t>
      </w:r>
      <w:r w:rsidRPr="00BD6A26">
        <w:rPr>
          <w:rFonts w:cs="Calibri"/>
          <w:bCs/>
        </w:rPr>
        <w:t xml:space="preserve"> - mieszanina cementu i wody.</w:t>
      </w:r>
    </w:p>
    <w:p w14:paraId="3243B157" w14:textId="77777777" w:rsidR="00AC274D" w:rsidRPr="00BD6A26" w:rsidRDefault="00AC274D" w:rsidP="00AC274D">
      <w:pPr>
        <w:spacing w:after="0"/>
        <w:jc w:val="both"/>
        <w:rPr>
          <w:rFonts w:cs="Calibri"/>
          <w:bCs/>
        </w:rPr>
      </w:pPr>
      <w:r w:rsidRPr="00BD6A26">
        <w:rPr>
          <w:rFonts w:cs="Calibri"/>
          <w:b/>
          <w:bCs/>
        </w:rPr>
        <w:t>Zaprawa</w:t>
      </w:r>
      <w:r w:rsidRPr="00BD6A26">
        <w:rPr>
          <w:rFonts w:cs="Calibri"/>
          <w:bCs/>
        </w:rPr>
        <w:t xml:space="preserve"> - mieszanina cementu, wody i pozostałych składników, które przechodzą przez sito kontrolne o boku</w:t>
      </w:r>
      <w:r>
        <w:rPr>
          <w:rFonts w:cs="Calibri"/>
          <w:bCs/>
        </w:rPr>
        <w:t xml:space="preserve"> </w:t>
      </w:r>
      <w:r w:rsidRPr="00BD6A26">
        <w:rPr>
          <w:rFonts w:cs="Calibri"/>
          <w:bCs/>
        </w:rPr>
        <w:t>oczka kwadratowego 2 mm.</w:t>
      </w:r>
    </w:p>
    <w:p w14:paraId="69F7129F" w14:textId="77777777" w:rsidR="00AC274D" w:rsidRPr="00BD6A26" w:rsidRDefault="00AC274D" w:rsidP="00AC274D">
      <w:pPr>
        <w:spacing w:after="0"/>
        <w:jc w:val="both"/>
        <w:rPr>
          <w:rFonts w:cs="Calibri"/>
          <w:bCs/>
        </w:rPr>
      </w:pPr>
      <w:r w:rsidRPr="00BD6A26">
        <w:rPr>
          <w:rFonts w:cs="Calibri"/>
          <w:b/>
          <w:bCs/>
        </w:rPr>
        <w:t>Partia betonu</w:t>
      </w:r>
      <w:r w:rsidRPr="00BD6A26">
        <w:rPr>
          <w:rFonts w:cs="Calibri"/>
          <w:bCs/>
        </w:rPr>
        <w:t xml:space="preserve"> - ilość betonu o tych samych wymaganiach, podlegająca oddzielnej ocenie, wyprodukowana w</w:t>
      </w:r>
      <w:r>
        <w:rPr>
          <w:rFonts w:cs="Calibri"/>
          <w:bCs/>
        </w:rPr>
        <w:t xml:space="preserve"> </w:t>
      </w:r>
      <w:r w:rsidRPr="00BD6A26">
        <w:rPr>
          <w:rFonts w:cs="Calibri"/>
          <w:bCs/>
        </w:rPr>
        <w:t>okresie umownym - nie dłuższym</w:t>
      </w:r>
      <w:r>
        <w:rPr>
          <w:rFonts w:cs="Calibri"/>
          <w:bCs/>
        </w:rPr>
        <w:t xml:space="preserve"> niż</w:t>
      </w:r>
      <w:r w:rsidRPr="00BD6A26">
        <w:rPr>
          <w:rFonts w:cs="Calibri"/>
          <w:bCs/>
        </w:rPr>
        <w:t xml:space="preserve"> 1 miesiąc - z takich samych składników, w ten sam sposób i w tych</w:t>
      </w:r>
      <w:r>
        <w:rPr>
          <w:rFonts w:cs="Calibri"/>
          <w:bCs/>
        </w:rPr>
        <w:t xml:space="preserve"> </w:t>
      </w:r>
      <w:r w:rsidRPr="00BD6A26">
        <w:rPr>
          <w:rFonts w:cs="Calibri"/>
          <w:bCs/>
        </w:rPr>
        <w:t>samych warunkach.</w:t>
      </w:r>
    </w:p>
    <w:p w14:paraId="46924A8F" w14:textId="77777777" w:rsidR="00AC274D" w:rsidRPr="00BD6A26" w:rsidRDefault="00AC274D" w:rsidP="00AC274D">
      <w:pPr>
        <w:spacing w:after="0"/>
        <w:jc w:val="both"/>
        <w:rPr>
          <w:rFonts w:cs="Calibri"/>
          <w:bCs/>
        </w:rPr>
      </w:pPr>
      <w:r w:rsidRPr="00BD6A26">
        <w:rPr>
          <w:rFonts w:cs="Calibri"/>
          <w:b/>
          <w:bCs/>
        </w:rPr>
        <w:t>Klasa betonu</w:t>
      </w:r>
      <w:r w:rsidRPr="00BD6A26">
        <w:rPr>
          <w:rFonts w:cs="Calibri"/>
          <w:bCs/>
        </w:rPr>
        <w:t xml:space="preserve"> – symbol literowo-liczbowy (np. C 25/30) klasyfikujący beton pod względem jego wytrzymałości</w:t>
      </w:r>
      <w:r>
        <w:rPr>
          <w:rFonts w:cs="Calibri"/>
          <w:bCs/>
        </w:rPr>
        <w:t xml:space="preserve"> </w:t>
      </w:r>
      <w:r w:rsidRPr="00BD6A26">
        <w:rPr>
          <w:rFonts w:cs="Calibri"/>
          <w:bCs/>
        </w:rPr>
        <w:t>na ściskanie. Liczby po literze C oznaczają: minimalna wytrzymałość charakterystyczna na próbkach</w:t>
      </w:r>
      <w:r>
        <w:rPr>
          <w:rFonts w:cs="Calibri"/>
          <w:bCs/>
        </w:rPr>
        <w:t xml:space="preserve"> </w:t>
      </w:r>
      <w:r w:rsidRPr="00BD6A26">
        <w:rPr>
          <w:rFonts w:cs="Calibri"/>
          <w:bCs/>
        </w:rPr>
        <w:t xml:space="preserve">walcowych (25) i próbkach sześciennych (30) w </w:t>
      </w:r>
      <w:proofErr w:type="spellStart"/>
      <w:r w:rsidRPr="00BD6A26">
        <w:rPr>
          <w:rFonts w:cs="Calibri"/>
          <w:bCs/>
        </w:rPr>
        <w:t>MPa</w:t>
      </w:r>
      <w:proofErr w:type="spellEnd"/>
      <w:r w:rsidRPr="00BD6A26">
        <w:rPr>
          <w:rFonts w:cs="Calibri"/>
          <w:bCs/>
        </w:rPr>
        <w:t>.</w:t>
      </w:r>
    </w:p>
    <w:p w14:paraId="75431FE5" w14:textId="77777777" w:rsidR="00AC274D" w:rsidRPr="00BD6A26" w:rsidRDefault="00AC274D" w:rsidP="00AC274D">
      <w:pPr>
        <w:spacing w:after="0"/>
        <w:jc w:val="both"/>
        <w:rPr>
          <w:rFonts w:cs="Calibri"/>
          <w:bCs/>
        </w:rPr>
      </w:pPr>
      <w:r w:rsidRPr="00BD6A26">
        <w:rPr>
          <w:rFonts w:cs="Calibri"/>
          <w:b/>
          <w:bCs/>
        </w:rPr>
        <w:t>Wytrzymałość charakterystyczna</w:t>
      </w:r>
      <w:r w:rsidRPr="00BD6A26">
        <w:rPr>
          <w:rFonts w:cs="Calibri"/>
          <w:bCs/>
        </w:rPr>
        <w:t xml:space="preserve"> - wartość wytrzymałości, poniżej</w:t>
      </w:r>
      <w:r>
        <w:rPr>
          <w:rFonts w:cs="Calibri"/>
          <w:bCs/>
        </w:rPr>
        <w:t xml:space="preserve"> której moż</w:t>
      </w:r>
      <w:r w:rsidRPr="00BD6A26">
        <w:rPr>
          <w:rFonts w:cs="Calibri"/>
          <w:bCs/>
        </w:rPr>
        <w:t xml:space="preserve">e </w:t>
      </w:r>
      <w:proofErr w:type="spellStart"/>
      <w:r w:rsidRPr="00BD6A26">
        <w:rPr>
          <w:rFonts w:cs="Calibri"/>
          <w:bCs/>
        </w:rPr>
        <w:t>sie</w:t>
      </w:r>
      <w:proofErr w:type="spellEnd"/>
      <w:r w:rsidRPr="00BD6A26">
        <w:rPr>
          <w:rFonts w:cs="Calibri"/>
          <w:bCs/>
        </w:rPr>
        <w:t xml:space="preserve"> znaleźć 5% wszystkich</w:t>
      </w:r>
      <w:r>
        <w:rPr>
          <w:rFonts w:cs="Calibri"/>
          <w:bCs/>
        </w:rPr>
        <w:t xml:space="preserve"> </w:t>
      </w:r>
      <w:r w:rsidRPr="00BD6A26">
        <w:rPr>
          <w:rFonts w:cs="Calibri"/>
          <w:bCs/>
        </w:rPr>
        <w:t>możliwych oznaczeń wytrzymałości dla danej objętości betonu.</w:t>
      </w:r>
    </w:p>
    <w:p w14:paraId="2B2B8D21" w14:textId="77777777" w:rsidR="00AC274D" w:rsidRPr="00BD6A26" w:rsidRDefault="00AC274D" w:rsidP="00AC274D">
      <w:pPr>
        <w:spacing w:after="0"/>
        <w:jc w:val="both"/>
        <w:rPr>
          <w:rFonts w:cs="Calibri"/>
          <w:bCs/>
        </w:rPr>
      </w:pPr>
      <w:r w:rsidRPr="00BD6A26">
        <w:rPr>
          <w:rFonts w:cs="Calibri"/>
          <w:b/>
          <w:bCs/>
        </w:rPr>
        <w:t>Nasiąkliwość betonu</w:t>
      </w:r>
      <w:r w:rsidRPr="00BD6A26">
        <w:rPr>
          <w:rFonts w:cs="Calibri"/>
          <w:bCs/>
        </w:rPr>
        <w:t xml:space="preserve"> - stosunek masy wody, która zdolny jest wchłonąć beton do jego masy w stanie suchym.</w:t>
      </w:r>
    </w:p>
    <w:p w14:paraId="40D1E50F" w14:textId="77777777" w:rsidR="00AC274D" w:rsidRDefault="00AC274D" w:rsidP="00AC274D">
      <w:pPr>
        <w:spacing w:after="0"/>
        <w:jc w:val="both"/>
        <w:rPr>
          <w:rFonts w:cs="Calibri"/>
          <w:bCs/>
        </w:rPr>
      </w:pPr>
      <w:r w:rsidRPr="00BD6A26">
        <w:rPr>
          <w:rFonts w:cs="Calibri"/>
          <w:b/>
          <w:bCs/>
        </w:rPr>
        <w:t>Stopień mrozoodporności</w:t>
      </w:r>
      <w:r w:rsidRPr="00BD6A26">
        <w:rPr>
          <w:rFonts w:cs="Calibri"/>
          <w:bCs/>
        </w:rPr>
        <w:t xml:space="preserve"> - symbol literowo – liczbowy (np. F150) klasyfikujący beton pod względem jego</w:t>
      </w:r>
      <w:r>
        <w:rPr>
          <w:rFonts w:cs="Calibri"/>
          <w:bCs/>
        </w:rPr>
        <w:t xml:space="preserve"> </w:t>
      </w:r>
      <w:r w:rsidRPr="00BD6A26">
        <w:rPr>
          <w:rFonts w:cs="Calibri"/>
          <w:bCs/>
        </w:rPr>
        <w:t>odporności na działanie mrozu; liczba po literze F oznacza wymagana liczbę cykli zamrażania i odmrażania</w:t>
      </w:r>
      <w:r>
        <w:rPr>
          <w:rFonts w:cs="Calibri"/>
          <w:bCs/>
        </w:rPr>
        <w:t xml:space="preserve"> </w:t>
      </w:r>
      <w:r w:rsidRPr="00BD6A26">
        <w:rPr>
          <w:rFonts w:cs="Calibri"/>
          <w:bCs/>
        </w:rPr>
        <w:t>próbek betonowych.</w:t>
      </w:r>
    </w:p>
    <w:p w14:paraId="4F4D4185" w14:textId="77777777" w:rsidR="00AC7072" w:rsidRPr="00AC7072" w:rsidRDefault="00AC7072" w:rsidP="00AC7072">
      <w:pPr>
        <w:spacing w:after="0"/>
        <w:jc w:val="both"/>
        <w:rPr>
          <w:rFonts w:cs="Calibri"/>
          <w:bCs/>
        </w:rPr>
      </w:pPr>
      <w:r w:rsidRPr="00AC7072">
        <w:rPr>
          <w:rFonts w:cs="Calibri"/>
          <w:b/>
          <w:bCs/>
        </w:rPr>
        <w:t>Pręty stalowe wiotkie:</w:t>
      </w:r>
      <w:r w:rsidRPr="00AC7072">
        <w:rPr>
          <w:rFonts w:cs="Calibri"/>
          <w:bCs/>
        </w:rPr>
        <w:t xml:space="preserve"> - pręty stalowe o przekroju kołowym żebrowane o średnicy do </w:t>
      </w:r>
      <w:smartTag w:uri="urn:schemas-microsoft-com:office:smarttags" w:element="metricconverter">
        <w:smartTagPr>
          <w:attr w:name="ProductID" w:val="40 mm"/>
        </w:smartTagPr>
        <w:r w:rsidRPr="00AC7072">
          <w:rPr>
            <w:rFonts w:cs="Calibri"/>
            <w:bCs/>
          </w:rPr>
          <w:t>40 mm</w:t>
        </w:r>
      </w:smartTag>
      <w:r w:rsidRPr="00AC7072">
        <w:rPr>
          <w:rFonts w:cs="Calibri"/>
          <w:bCs/>
        </w:rPr>
        <w:t>.</w:t>
      </w:r>
    </w:p>
    <w:p w14:paraId="61D779AF" w14:textId="77777777" w:rsidR="00AC7072" w:rsidRDefault="00AC7072" w:rsidP="00AC7072">
      <w:pPr>
        <w:spacing w:after="0"/>
        <w:jc w:val="both"/>
        <w:rPr>
          <w:rFonts w:cs="Calibri"/>
          <w:bCs/>
        </w:rPr>
      </w:pPr>
      <w:r w:rsidRPr="00AC7072">
        <w:rPr>
          <w:rFonts w:cs="Calibri"/>
          <w:b/>
          <w:bCs/>
        </w:rPr>
        <w:t>Zbrojenie niesprężające:</w:t>
      </w:r>
      <w:r w:rsidRPr="00AC7072">
        <w:rPr>
          <w:rFonts w:cs="Calibri"/>
          <w:bCs/>
        </w:rPr>
        <w:t xml:space="preserve"> - zbrojenie konstrukcji betonowej niewprowadzające do niej</w:t>
      </w:r>
      <w:r w:rsidRPr="00BB6846">
        <w:rPr>
          <w:rFonts w:ascii="Arial" w:hAnsi="Arial" w:cs="Arial"/>
        </w:rPr>
        <w:t xml:space="preserve"> </w:t>
      </w:r>
      <w:proofErr w:type="spellStart"/>
      <w:r w:rsidRPr="00BB6846">
        <w:rPr>
          <w:rFonts w:ascii="Arial" w:hAnsi="Arial" w:cs="Arial"/>
        </w:rPr>
        <w:t>naprężeń</w:t>
      </w:r>
      <w:proofErr w:type="spellEnd"/>
      <w:r w:rsidRPr="00BB6846">
        <w:rPr>
          <w:rFonts w:ascii="Arial" w:hAnsi="Arial" w:cs="Arial"/>
        </w:rPr>
        <w:t xml:space="preserve"> w sposób czynny.</w:t>
      </w:r>
    </w:p>
    <w:p w14:paraId="22641DC5" w14:textId="77777777" w:rsidR="00CB7171" w:rsidRPr="004E6231" w:rsidRDefault="00CB7171" w:rsidP="00DC5CA3">
      <w:pPr>
        <w:pStyle w:val="Akapitzlist"/>
        <w:numPr>
          <w:ilvl w:val="1"/>
          <w:numId w:val="1"/>
        </w:numPr>
        <w:spacing w:after="0"/>
        <w:jc w:val="both"/>
        <w:rPr>
          <w:rFonts w:cs="Calibri"/>
          <w:b/>
          <w:bCs/>
        </w:rPr>
      </w:pPr>
      <w:r w:rsidRPr="004E6231">
        <w:rPr>
          <w:rFonts w:cs="Calibri"/>
          <w:b/>
          <w:bCs/>
        </w:rPr>
        <w:t>Zakres robót objętych specyfikacją</w:t>
      </w:r>
    </w:p>
    <w:p w14:paraId="75D6D752" w14:textId="77777777" w:rsidR="00CB7171" w:rsidRDefault="00CB7171" w:rsidP="00CB7171">
      <w:pPr>
        <w:spacing w:after="0"/>
        <w:jc w:val="both"/>
        <w:rPr>
          <w:rFonts w:cs="Calibri"/>
          <w:bCs/>
        </w:rPr>
      </w:pPr>
      <w:r w:rsidRPr="00E025EF">
        <w:rPr>
          <w:rFonts w:cs="Calibri"/>
          <w:bCs/>
        </w:rPr>
        <w:t>Ustalenia zawarte w niniejszej szczegółowej specyfikacji technicznej dotyczą zasad</w:t>
      </w:r>
      <w:r>
        <w:rPr>
          <w:rFonts w:cs="Calibri"/>
          <w:bCs/>
        </w:rPr>
        <w:t xml:space="preserve"> wykonania konstrukcji żelbetowych i betonowych</w:t>
      </w:r>
      <w:r w:rsidRPr="00E025EF">
        <w:rPr>
          <w:rFonts w:cs="Calibri"/>
          <w:bCs/>
        </w:rPr>
        <w:t xml:space="preserve"> i obejmują:</w:t>
      </w:r>
    </w:p>
    <w:p w14:paraId="44979D49" w14:textId="2515AA1C" w:rsidR="00156687" w:rsidRDefault="00156687" w:rsidP="00CB7171">
      <w:pPr>
        <w:spacing w:after="0"/>
        <w:jc w:val="both"/>
        <w:rPr>
          <w:rFonts w:cs="Calibri"/>
          <w:bCs/>
        </w:rPr>
      </w:pPr>
      <w:r>
        <w:rPr>
          <w:rFonts w:cs="Calibri"/>
          <w:bCs/>
        </w:rPr>
        <w:t>- konstrukcje żelbetowe monolityczne</w:t>
      </w:r>
      <w:r w:rsidR="004C15D4">
        <w:rPr>
          <w:rFonts w:cs="Calibri"/>
          <w:bCs/>
        </w:rPr>
        <w:t xml:space="preserve"> fundamentów</w:t>
      </w:r>
      <w:r>
        <w:rPr>
          <w:rFonts w:cs="Calibri"/>
          <w:bCs/>
        </w:rPr>
        <w:t>, słupów, belek i nadproży,</w:t>
      </w:r>
      <w:r w:rsidR="008705DE">
        <w:rPr>
          <w:rFonts w:cs="Calibri"/>
          <w:bCs/>
        </w:rPr>
        <w:t xml:space="preserve"> </w:t>
      </w:r>
    </w:p>
    <w:p w14:paraId="28E8695B" w14:textId="4B2BC3F8" w:rsidR="00156687" w:rsidRPr="00E025EF" w:rsidRDefault="00156687" w:rsidP="00CB7171">
      <w:pPr>
        <w:spacing w:after="0"/>
        <w:jc w:val="both"/>
        <w:rPr>
          <w:rFonts w:cs="Calibri"/>
          <w:bCs/>
        </w:rPr>
      </w:pPr>
      <w:r>
        <w:rPr>
          <w:rFonts w:cs="Calibri"/>
          <w:bCs/>
        </w:rPr>
        <w:t>- podkłady betonowe</w:t>
      </w:r>
      <w:r w:rsidR="004C15D4">
        <w:rPr>
          <w:rFonts w:cs="Calibri"/>
          <w:bCs/>
        </w:rPr>
        <w:t>.</w:t>
      </w:r>
    </w:p>
    <w:p w14:paraId="32328706" w14:textId="77777777" w:rsidR="00AC7072" w:rsidRPr="00AC7072" w:rsidRDefault="00AC7072" w:rsidP="00DC5CA3">
      <w:pPr>
        <w:pStyle w:val="Akapitzlist"/>
        <w:numPr>
          <w:ilvl w:val="1"/>
          <w:numId w:val="1"/>
        </w:numPr>
        <w:spacing w:after="0"/>
        <w:jc w:val="both"/>
        <w:rPr>
          <w:rFonts w:cs="Calibri"/>
          <w:b/>
          <w:bCs/>
        </w:rPr>
      </w:pPr>
      <w:r w:rsidRPr="00AC7072">
        <w:rPr>
          <w:rFonts w:cs="Calibri"/>
          <w:b/>
          <w:bCs/>
        </w:rPr>
        <w:t>Ogólne wymagania dotyczące robót.</w:t>
      </w:r>
    </w:p>
    <w:p w14:paraId="5772C5EC" w14:textId="77777777" w:rsidR="00CB7171" w:rsidRDefault="00AC7072" w:rsidP="00AC7072">
      <w:pPr>
        <w:spacing w:after="0"/>
        <w:jc w:val="both"/>
        <w:rPr>
          <w:rFonts w:cs="Calibri"/>
          <w:bCs/>
        </w:rPr>
      </w:pPr>
      <w:r w:rsidRPr="00AC7072">
        <w:rPr>
          <w:rFonts w:cs="Calibri"/>
          <w:bCs/>
        </w:rPr>
        <w:lastRenderedPageBreak/>
        <w:t>Wykonawca robót jest odpowiedzialny za jakość wykonania robót, ich zgodność z dokumentacją</w:t>
      </w:r>
      <w:r>
        <w:rPr>
          <w:rFonts w:cs="Calibri"/>
          <w:bCs/>
        </w:rPr>
        <w:t xml:space="preserve"> </w:t>
      </w:r>
      <w:r w:rsidRPr="00AC7072">
        <w:rPr>
          <w:rFonts w:cs="Calibri"/>
          <w:bCs/>
        </w:rPr>
        <w:t>projektową, SST i poleceniami Inspektora Nadzoru.</w:t>
      </w:r>
    </w:p>
    <w:p w14:paraId="691FD948" w14:textId="77777777" w:rsidR="00CB7171" w:rsidRDefault="00CB7171" w:rsidP="00AC274D">
      <w:pPr>
        <w:spacing w:after="0"/>
        <w:jc w:val="both"/>
        <w:rPr>
          <w:rFonts w:cs="Calibri"/>
          <w:bCs/>
        </w:rPr>
      </w:pPr>
    </w:p>
    <w:p w14:paraId="05DF843D" w14:textId="77777777" w:rsidR="00AC274D" w:rsidRDefault="00AC7072" w:rsidP="00DC5CA3">
      <w:pPr>
        <w:pStyle w:val="Akapitzlist"/>
        <w:numPr>
          <w:ilvl w:val="0"/>
          <w:numId w:val="1"/>
        </w:numPr>
        <w:spacing w:after="0"/>
        <w:jc w:val="both"/>
        <w:rPr>
          <w:rFonts w:cs="Calibri"/>
          <w:b/>
          <w:bCs/>
        </w:rPr>
      </w:pPr>
      <w:r>
        <w:rPr>
          <w:rFonts w:cs="Calibri"/>
          <w:b/>
          <w:bCs/>
        </w:rPr>
        <w:t>MATERIAŁY</w:t>
      </w:r>
    </w:p>
    <w:p w14:paraId="6AE0CCE8" w14:textId="77777777" w:rsidR="00AC7072" w:rsidRDefault="00AC7072" w:rsidP="00DC5CA3">
      <w:pPr>
        <w:pStyle w:val="Akapitzlist"/>
        <w:numPr>
          <w:ilvl w:val="1"/>
          <w:numId w:val="1"/>
        </w:numPr>
        <w:spacing w:after="0"/>
        <w:jc w:val="both"/>
        <w:rPr>
          <w:rFonts w:cs="Calibri"/>
          <w:b/>
          <w:bCs/>
        </w:rPr>
      </w:pPr>
      <w:r>
        <w:rPr>
          <w:rFonts w:cs="Calibri"/>
          <w:b/>
          <w:bCs/>
        </w:rPr>
        <w:t>Wymagania ogólne</w:t>
      </w:r>
    </w:p>
    <w:p w14:paraId="4D21DBB0" w14:textId="77777777" w:rsidR="00AC7072" w:rsidRPr="00AC7072" w:rsidRDefault="00AC7072" w:rsidP="00AC7072">
      <w:pPr>
        <w:spacing w:after="0"/>
        <w:jc w:val="both"/>
        <w:rPr>
          <w:rFonts w:cs="Calibri"/>
          <w:bCs/>
        </w:rPr>
      </w:pPr>
      <w:r w:rsidRPr="00AC7072">
        <w:rPr>
          <w:rFonts w:cs="Calibri"/>
          <w:bCs/>
        </w:rPr>
        <w:t>Ogólne wymagania dotyczące materiałów podano w ogólnej specyfikacji technicznej „Wymagania ogólne”</w:t>
      </w:r>
      <w:r>
        <w:rPr>
          <w:rFonts w:cs="Calibri"/>
          <w:bCs/>
        </w:rPr>
        <w:t>.</w:t>
      </w:r>
    </w:p>
    <w:p w14:paraId="26F5CF13" w14:textId="65938B72" w:rsidR="00AC274D" w:rsidRPr="00BD6A26" w:rsidRDefault="004131AD" w:rsidP="00DC5CA3">
      <w:pPr>
        <w:pStyle w:val="Akapitzlist"/>
        <w:numPr>
          <w:ilvl w:val="1"/>
          <w:numId w:val="1"/>
        </w:numPr>
        <w:spacing w:after="0"/>
        <w:jc w:val="both"/>
        <w:rPr>
          <w:rFonts w:cs="Calibri"/>
          <w:b/>
          <w:bCs/>
        </w:rPr>
      </w:pPr>
      <w:r>
        <w:rPr>
          <w:rFonts w:cs="Calibri"/>
          <w:b/>
          <w:bCs/>
        </w:rPr>
        <w:t>Deskowanie</w:t>
      </w:r>
    </w:p>
    <w:p w14:paraId="409DDAF0" w14:textId="0E91C434" w:rsidR="00AC274D" w:rsidRDefault="00211F58" w:rsidP="00AC274D">
      <w:pPr>
        <w:spacing w:after="0"/>
        <w:jc w:val="both"/>
        <w:rPr>
          <w:rFonts w:cs="Calibri"/>
          <w:bCs/>
        </w:rPr>
      </w:pPr>
      <w:r>
        <w:rPr>
          <w:rFonts w:cs="Calibri"/>
          <w:bCs/>
        </w:rPr>
        <w:t>Wszystkie konstrukcje żelbetowe z wyjątkiem pali formowanych w gruncie należy wykonać w deskowaniu systemowym. Niedopuszczalne jest stosowanie deskowania tradycyjnego z tarcicy.</w:t>
      </w:r>
    </w:p>
    <w:p w14:paraId="2F74323D" w14:textId="75D7C0F3" w:rsidR="00C37FD7" w:rsidRDefault="00CC7BD6" w:rsidP="00DC5CA3">
      <w:pPr>
        <w:pStyle w:val="Akapitzlist"/>
        <w:numPr>
          <w:ilvl w:val="1"/>
          <w:numId w:val="1"/>
        </w:numPr>
        <w:spacing w:after="0"/>
        <w:jc w:val="both"/>
        <w:rPr>
          <w:rFonts w:cs="Calibri"/>
          <w:b/>
          <w:bCs/>
        </w:rPr>
      </w:pPr>
      <w:r>
        <w:rPr>
          <w:rFonts w:cs="Calibri"/>
          <w:b/>
          <w:bCs/>
        </w:rPr>
        <w:t>Cement</w:t>
      </w:r>
    </w:p>
    <w:p w14:paraId="6AB0973D" w14:textId="51A883AC" w:rsidR="00E23849" w:rsidRDefault="007B6000" w:rsidP="00E23849">
      <w:pPr>
        <w:spacing w:after="0"/>
        <w:jc w:val="both"/>
      </w:pPr>
      <w:r>
        <w:t xml:space="preserve">Tabela 1: </w:t>
      </w:r>
      <w:r w:rsidR="00E23849">
        <w:t xml:space="preserve">Wymagania dotyczące betonu w klasach ekspozycji wg </w:t>
      </w:r>
      <w:r w:rsidR="00E23849" w:rsidRPr="00E23849">
        <w:t>PN-EN 206+A2:2021-08</w:t>
      </w:r>
    </w:p>
    <w:tbl>
      <w:tblPr>
        <w:tblStyle w:val="Tabela-Siatka"/>
        <w:tblW w:w="0" w:type="auto"/>
        <w:tblLook w:val="04A0" w:firstRow="1" w:lastRow="0" w:firstColumn="1" w:lastColumn="0" w:noHBand="0" w:noVBand="1"/>
      </w:tblPr>
      <w:tblGrid>
        <w:gridCol w:w="959"/>
        <w:gridCol w:w="1559"/>
        <w:gridCol w:w="2552"/>
        <w:gridCol w:w="1275"/>
        <w:gridCol w:w="1524"/>
        <w:gridCol w:w="1419"/>
      </w:tblGrid>
      <w:tr w:rsidR="00E23849" w:rsidRPr="007B6000" w14:paraId="17E312E4" w14:textId="77777777" w:rsidTr="007B6000">
        <w:tc>
          <w:tcPr>
            <w:tcW w:w="959" w:type="dxa"/>
            <w:vAlign w:val="center"/>
          </w:tcPr>
          <w:p w14:paraId="5DC00D46" w14:textId="2F09E9FB" w:rsidR="00E23849" w:rsidRPr="007B6000" w:rsidRDefault="00E23849" w:rsidP="007B6000">
            <w:pPr>
              <w:spacing w:after="0"/>
              <w:jc w:val="center"/>
              <w:rPr>
                <w:rFonts w:asciiTheme="minorHAnsi" w:hAnsiTheme="minorHAnsi" w:cstheme="minorHAnsi"/>
                <w:b/>
                <w:bCs/>
                <w:sz w:val="16"/>
                <w:szCs w:val="16"/>
              </w:rPr>
            </w:pPr>
            <w:r w:rsidRPr="007B6000">
              <w:rPr>
                <w:rFonts w:asciiTheme="minorHAnsi" w:hAnsiTheme="minorHAnsi" w:cstheme="minorHAnsi"/>
                <w:b/>
                <w:bCs/>
                <w:sz w:val="16"/>
                <w:szCs w:val="16"/>
              </w:rPr>
              <w:t>Klasa ekspozycji</w:t>
            </w:r>
          </w:p>
        </w:tc>
        <w:tc>
          <w:tcPr>
            <w:tcW w:w="1559" w:type="dxa"/>
            <w:vAlign w:val="center"/>
          </w:tcPr>
          <w:p w14:paraId="2BCA29E5" w14:textId="0A408F6E" w:rsidR="00E23849" w:rsidRPr="007B6000" w:rsidRDefault="00E23849" w:rsidP="007B6000">
            <w:pPr>
              <w:spacing w:after="0"/>
              <w:jc w:val="center"/>
              <w:rPr>
                <w:rFonts w:asciiTheme="minorHAnsi" w:hAnsiTheme="minorHAnsi" w:cstheme="minorHAnsi"/>
                <w:b/>
                <w:bCs/>
                <w:sz w:val="16"/>
                <w:szCs w:val="16"/>
              </w:rPr>
            </w:pPr>
            <w:r w:rsidRPr="007B6000">
              <w:rPr>
                <w:rFonts w:asciiTheme="minorHAnsi" w:hAnsiTheme="minorHAnsi" w:cstheme="minorHAnsi"/>
                <w:b/>
                <w:bCs/>
                <w:sz w:val="16"/>
                <w:szCs w:val="16"/>
              </w:rPr>
              <w:t>Opis środowiska</w:t>
            </w:r>
          </w:p>
        </w:tc>
        <w:tc>
          <w:tcPr>
            <w:tcW w:w="2552" w:type="dxa"/>
            <w:vAlign w:val="center"/>
          </w:tcPr>
          <w:p w14:paraId="05B60C83" w14:textId="513AAF55" w:rsidR="00E23849" w:rsidRPr="007B6000" w:rsidRDefault="00E23849" w:rsidP="007B6000">
            <w:pPr>
              <w:spacing w:after="0"/>
              <w:jc w:val="center"/>
              <w:rPr>
                <w:rFonts w:asciiTheme="minorHAnsi" w:hAnsiTheme="minorHAnsi" w:cstheme="minorHAnsi"/>
                <w:b/>
                <w:bCs/>
                <w:sz w:val="16"/>
                <w:szCs w:val="16"/>
              </w:rPr>
            </w:pPr>
            <w:r w:rsidRPr="007B6000">
              <w:rPr>
                <w:rFonts w:asciiTheme="minorHAnsi" w:hAnsiTheme="minorHAnsi" w:cstheme="minorHAnsi"/>
                <w:b/>
                <w:bCs/>
                <w:sz w:val="16"/>
                <w:szCs w:val="16"/>
              </w:rPr>
              <w:t>Przykład przyporządkowania do danej klasy</w:t>
            </w:r>
          </w:p>
        </w:tc>
        <w:tc>
          <w:tcPr>
            <w:tcW w:w="1275" w:type="dxa"/>
            <w:vAlign w:val="center"/>
          </w:tcPr>
          <w:p w14:paraId="340ABAA8" w14:textId="388B2855" w:rsidR="00E23849" w:rsidRPr="007B6000" w:rsidRDefault="00E23849" w:rsidP="007B6000">
            <w:pPr>
              <w:spacing w:after="0"/>
              <w:jc w:val="center"/>
              <w:rPr>
                <w:rFonts w:asciiTheme="minorHAnsi" w:hAnsiTheme="minorHAnsi" w:cstheme="minorHAnsi"/>
                <w:b/>
                <w:bCs/>
                <w:sz w:val="16"/>
                <w:szCs w:val="16"/>
              </w:rPr>
            </w:pPr>
            <w:r w:rsidRPr="007B6000">
              <w:rPr>
                <w:b/>
                <w:bCs/>
                <w:sz w:val="16"/>
                <w:szCs w:val="16"/>
              </w:rPr>
              <w:t>Min. zawartość cementu [kg/m</w:t>
            </w:r>
            <w:r w:rsidRPr="007B6000">
              <w:rPr>
                <w:b/>
                <w:bCs/>
                <w:sz w:val="16"/>
                <w:szCs w:val="16"/>
                <w:vertAlign w:val="superscript"/>
              </w:rPr>
              <w:t>3</w:t>
            </w:r>
            <w:r w:rsidRPr="007B6000">
              <w:rPr>
                <w:b/>
                <w:bCs/>
                <w:sz w:val="16"/>
                <w:szCs w:val="16"/>
              </w:rPr>
              <w:t xml:space="preserve"> ]</w:t>
            </w:r>
          </w:p>
        </w:tc>
        <w:tc>
          <w:tcPr>
            <w:tcW w:w="1524" w:type="dxa"/>
            <w:vAlign w:val="center"/>
          </w:tcPr>
          <w:p w14:paraId="1AA79A4C" w14:textId="0E3485E6" w:rsidR="00E23849" w:rsidRPr="007B6000" w:rsidRDefault="00E23849" w:rsidP="007B6000">
            <w:pPr>
              <w:spacing w:after="0"/>
              <w:jc w:val="center"/>
              <w:rPr>
                <w:rFonts w:asciiTheme="minorHAnsi" w:hAnsiTheme="minorHAnsi" w:cstheme="minorHAnsi"/>
                <w:b/>
                <w:bCs/>
                <w:sz w:val="16"/>
                <w:szCs w:val="16"/>
              </w:rPr>
            </w:pPr>
            <w:r w:rsidRPr="007B6000">
              <w:rPr>
                <w:b/>
                <w:bCs/>
                <w:sz w:val="16"/>
                <w:szCs w:val="16"/>
              </w:rPr>
              <w:t>Max. współczynnik w/c</w:t>
            </w:r>
          </w:p>
        </w:tc>
        <w:tc>
          <w:tcPr>
            <w:tcW w:w="1419" w:type="dxa"/>
            <w:vAlign w:val="center"/>
          </w:tcPr>
          <w:p w14:paraId="2AD7123A" w14:textId="518A90C9" w:rsidR="00E23849" w:rsidRPr="007B6000" w:rsidRDefault="00E23849" w:rsidP="007B6000">
            <w:pPr>
              <w:spacing w:after="0"/>
              <w:jc w:val="center"/>
              <w:rPr>
                <w:rFonts w:asciiTheme="minorHAnsi" w:hAnsiTheme="minorHAnsi" w:cstheme="minorHAnsi"/>
                <w:b/>
                <w:bCs/>
                <w:sz w:val="16"/>
                <w:szCs w:val="16"/>
              </w:rPr>
            </w:pPr>
            <w:r w:rsidRPr="007B6000">
              <w:rPr>
                <w:b/>
                <w:bCs/>
                <w:sz w:val="16"/>
                <w:szCs w:val="16"/>
              </w:rPr>
              <w:t xml:space="preserve">Min. klasa </w:t>
            </w:r>
            <w:proofErr w:type="spellStart"/>
            <w:r w:rsidRPr="007B6000">
              <w:rPr>
                <w:b/>
                <w:bCs/>
                <w:sz w:val="16"/>
                <w:szCs w:val="16"/>
              </w:rPr>
              <w:t>wytrz</w:t>
            </w:r>
            <w:proofErr w:type="spellEnd"/>
            <w:r w:rsidRPr="007B6000">
              <w:rPr>
                <w:b/>
                <w:bCs/>
                <w:sz w:val="16"/>
                <w:szCs w:val="16"/>
              </w:rPr>
              <w:t>. na ściskanie</w:t>
            </w:r>
          </w:p>
        </w:tc>
      </w:tr>
      <w:tr w:rsidR="00E23849" w:rsidRPr="007B6000" w14:paraId="4B1F3D55" w14:textId="77777777" w:rsidTr="007B6000">
        <w:tc>
          <w:tcPr>
            <w:tcW w:w="959" w:type="dxa"/>
          </w:tcPr>
          <w:p w14:paraId="7D5863CE" w14:textId="1C71D20E" w:rsidR="00E23849" w:rsidRPr="007B6000" w:rsidRDefault="00E23849" w:rsidP="007B6000">
            <w:pPr>
              <w:spacing w:after="0"/>
              <w:rPr>
                <w:rFonts w:asciiTheme="minorHAnsi" w:hAnsiTheme="minorHAnsi" w:cstheme="minorHAnsi"/>
                <w:sz w:val="16"/>
                <w:szCs w:val="16"/>
              </w:rPr>
            </w:pPr>
            <w:r w:rsidRPr="007B6000">
              <w:rPr>
                <w:sz w:val="16"/>
                <w:szCs w:val="16"/>
              </w:rPr>
              <w:t>XC</w:t>
            </w:r>
            <w:r w:rsidR="007B6000" w:rsidRPr="007B6000">
              <w:rPr>
                <w:sz w:val="16"/>
                <w:szCs w:val="16"/>
              </w:rPr>
              <w:t>2</w:t>
            </w:r>
          </w:p>
        </w:tc>
        <w:tc>
          <w:tcPr>
            <w:tcW w:w="1559" w:type="dxa"/>
          </w:tcPr>
          <w:p w14:paraId="42F9D1C4" w14:textId="26B291C8" w:rsidR="00E23849" w:rsidRPr="007B6000" w:rsidRDefault="007B6000" w:rsidP="007B6000">
            <w:pPr>
              <w:spacing w:after="0"/>
              <w:rPr>
                <w:rFonts w:asciiTheme="minorHAnsi" w:hAnsiTheme="minorHAnsi" w:cstheme="minorHAnsi"/>
                <w:sz w:val="16"/>
                <w:szCs w:val="16"/>
              </w:rPr>
            </w:pPr>
            <w:r w:rsidRPr="007B6000">
              <w:rPr>
                <w:sz w:val="16"/>
                <w:szCs w:val="16"/>
              </w:rPr>
              <w:t>Mokre, sporadycznie suche</w:t>
            </w:r>
          </w:p>
        </w:tc>
        <w:tc>
          <w:tcPr>
            <w:tcW w:w="2552" w:type="dxa"/>
          </w:tcPr>
          <w:p w14:paraId="04F136D4" w14:textId="2C852B34" w:rsidR="00E23849" w:rsidRPr="007B6000" w:rsidRDefault="007B6000" w:rsidP="007B6000">
            <w:pPr>
              <w:spacing w:after="0"/>
              <w:rPr>
                <w:rFonts w:asciiTheme="minorHAnsi" w:hAnsiTheme="minorHAnsi" w:cstheme="minorHAnsi"/>
                <w:sz w:val="16"/>
                <w:szCs w:val="16"/>
              </w:rPr>
            </w:pPr>
            <w:r w:rsidRPr="007B6000">
              <w:rPr>
                <w:sz w:val="16"/>
                <w:szCs w:val="16"/>
              </w:rPr>
              <w:t>Części konstrukcji hydrotechnicznych; większość fundamentów</w:t>
            </w:r>
          </w:p>
        </w:tc>
        <w:tc>
          <w:tcPr>
            <w:tcW w:w="1275" w:type="dxa"/>
          </w:tcPr>
          <w:p w14:paraId="34D128B3" w14:textId="3F708113" w:rsidR="00E23849" w:rsidRPr="007B6000" w:rsidRDefault="007B6000" w:rsidP="007B6000">
            <w:pPr>
              <w:spacing w:after="0"/>
              <w:rPr>
                <w:rFonts w:asciiTheme="minorHAnsi" w:hAnsiTheme="minorHAnsi" w:cstheme="minorHAnsi"/>
                <w:sz w:val="16"/>
                <w:szCs w:val="16"/>
              </w:rPr>
            </w:pPr>
            <w:r w:rsidRPr="007B6000">
              <w:rPr>
                <w:rFonts w:asciiTheme="minorHAnsi" w:hAnsiTheme="minorHAnsi" w:cstheme="minorHAnsi"/>
                <w:sz w:val="16"/>
                <w:szCs w:val="16"/>
              </w:rPr>
              <w:t>280</w:t>
            </w:r>
          </w:p>
        </w:tc>
        <w:tc>
          <w:tcPr>
            <w:tcW w:w="1524" w:type="dxa"/>
          </w:tcPr>
          <w:p w14:paraId="57133205" w14:textId="099EB655" w:rsidR="00E23849" w:rsidRPr="007B6000" w:rsidRDefault="007B6000" w:rsidP="007B6000">
            <w:pPr>
              <w:spacing w:after="0"/>
              <w:rPr>
                <w:rFonts w:asciiTheme="minorHAnsi" w:hAnsiTheme="minorHAnsi" w:cstheme="minorHAnsi"/>
                <w:sz w:val="16"/>
                <w:szCs w:val="16"/>
              </w:rPr>
            </w:pPr>
            <w:r w:rsidRPr="007B6000">
              <w:rPr>
                <w:rFonts w:asciiTheme="minorHAnsi" w:hAnsiTheme="minorHAnsi" w:cstheme="minorHAnsi"/>
                <w:sz w:val="16"/>
                <w:szCs w:val="16"/>
              </w:rPr>
              <w:t>0,60</w:t>
            </w:r>
          </w:p>
        </w:tc>
        <w:tc>
          <w:tcPr>
            <w:tcW w:w="1419" w:type="dxa"/>
          </w:tcPr>
          <w:p w14:paraId="1672BF3D" w14:textId="560BD628" w:rsidR="00E23849" w:rsidRPr="007B6000" w:rsidRDefault="007B6000" w:rsidP="007B6000">
            <w:pPr>
              <w:spacing w:after="0"/>
              <w:rPr>
                <w:rFonts w:asciiTheme="minorHAnsi" w:hAnsiTheme="minorHAnsi" w:cstheme="minorHAnsi"/>
                <w:sz w:val="16"/>
                <w:szCs w:val="16"/>
              </w:rPr>
            </w:pPr>
            <w:r w:rsidRPr="007B6000">
              <w:rPr>
                <w:rFonts w:asciiTheme="minorHAnsi" w:hAnsiTheme="minorHAnsi" w:cstheme="minorHAnsi"/>
                <w:sz w:val="16"/>
                <w:szCs w:val="16"/>
              </w:rPr>
              <w:t>C25/30</w:t>
            </w:r>
          </w:p>
        </w:tc>
      </w:tr>
      <w:tr w:rsidR="00E23849" w:rsidRPr="000C7AB8" w14:paraId="214C9B03" w14:textId="77777777" w:rsidTr="007B6000">
        <w:tc>
          <w:tcPr>
            <w:tcW w:w="959" w:type="dxa"/>
          </w:tcPr>
          <w:p w14:paraId="0880CC3C" w14:textId="1378322D" w:rsidR="00E23849" w:rsidRPr="000C7AB8" w:rsidRDefault="007B6000" w:rsidP="000C7AB8">
            <w:pPr>
              <w:spacing w:after="0"/>
              <w:rPr>
                <w:sz w:val="16"/>
                <w:szCs w:val="16"/>
              </w:rPr>
            </w:pPr>
            <w:r w:rsidRPr="000C7AB8">
              <w:rPr>
                <w:sz w:val="16"/>
                <w:szCs w:val="16"/>
              </w:rPr>
              <w:t>XC4</w:t>
            </w:r>
          </w:p>
        </w:tc>
        <w:tc>
          <w:tcPr>
            <w:tcW w:w="1559" w:type="dxa"/>
          </w:tcPr>
          <w:p w14:paraId="5027D1EB" w14:textId="7FF8A302" w:rsidR="00E23849" w:rsidRPr="000C7AB8" w:rsidRDefault="007B6000" w:rsidP="000C7AB8">
            <w:pPr>
              <w:spacing w:after="0"/>
              <w:rPr>
                <w:sz w:val="16"/>
                <w:szCs w:val="16"/>
              </w:rPr>
            </w:pPr>
            <w:r w:rsidRPr="000C7AB8">
              <w:rPr>
                <w:sz w:val="16"/>
                <w:szCs w:val="16"/>
              </w:rPr>
              <w:t>Cyklicznie: suche – mokre</w:t>
            </w:r>
          </w:p>
        </w:tc>
        <w:tc>
          <w:tcPr>
            <w:tcW w:w="2552" w:type="dxa"/>
          </w:tcPr>
          <w:p w14:paraId="22AD0016" w14:textId="6559EEF8" w:rsidR="00E23849" w:rsidRPr="000C7AB8" w:rsidRDefault="007B6000" w:rsidP="000C7AB8">
            <w:pPr>
              <w:spacing w:after="0"/>
              <w:rPr>
                <w:sz w:val="16"/>
                <w:szCs w:val="16"/>
              </w:rPr>
            </w:pPr>
            <w:r w:rsidRPr="000C7AB8">
              <w:rPr>
                <w:sz w:val="16"/>
                <w:szCs w:val="16"/>
              </w:rPr>
              <w:t>Elementy narażone na kontakt z wodą, spoza klasy ekspozycji XC2</w:t>
            </w:r>
          </w:p>
        </w:tc>
        <w:tc>
          <w:tcPr>
            <w:tcW w:w="1275" w:type="dxa"/>
          </w:tcPr>
          <w:p w14:paraId="61E90C0E" w14:textId="2F670612" w:rsidR="00E23849" w:rsidRPr="000C7AB8" w:rsidRDefault="007B6000" w:rsidP="000C7AB8">
            <w:pPr>
              <w:spacing w:after="0"/>
              <w:rPr>
                <w:sz w:val="16"/>
                <w:szCs w:val="16"/>
              </w:rPr>
            </w:pPr>
            <w:r w:rsidRPr="000C7AB8">
              <w:rPr>
                <w:sz w:val="16"/>
                <w:szCs w:val="16"/>
              </w:rPr>
              <w:t>300</w:t>
            </w:r>
          </w:p>
        </w:tc>
        <w:tc>
          <w:tcPr>
            <w:tcW w:w="1524" w:type="dxa"/>
          </w:tcPr>
          <w:p w14:paraId="44805A8A" w14:textId="197887CF" w:rsidR="00E23849" w:rsidRPr="000C7AB8" w:rsidRDefault="007B6000" w:rsidP="000C7AB8">
            <w:pPr>
              <w:spacing w:after="0"/>
              <w:rPr>
                <w:sz w:val="16"/>
                <w:szCs w:val="16"/>
              </w:rPr>
            </w:pPr>
            <w:r w:rsidRPr="000C7AB8">
              <w:rPr>
                <w:sz w:val="16"/>
                <w:szCs w:val="16"/>
              </w:rPr>
              <w:t>0,50</w:t>
            </w:r>
          </w:p>
        </w:tc>
        <w:tc>
          <w:tcPr>
            <w:tcW w:w="1419" w:type="dxa"/>
          </w:tcPr>
          <w:p w14:paraId="0B1E37BA" w14:textId="49810734" w:rsidR="00E23849" w:rsidRPr="000C7AB8" w:rsidRDefault="007B6000" w:rsidP="000C7AB8">
            <w:pPr>
              <w:spacing w:after="0"/>
              <w:rPr>
                <w:sz w:val="16"/>
                <w:szCs w:val="16"/>
              </w:rPr>
            </w:pPr>
            <w:r w:rsidRPr="000C7AB8">
              <w:rPr>
                <w:sz w:val="16"/>
                <w:szCs w:val="16"/>
              </w:rPr>
              <w:t>C30/37</w:t>
            </w:r>
          </w:p>
        </w:tc>
      </w:tr>
      <w:tr w:rsidR="00E23849" w:rsidRPr="000C7AB8" w14:paraId="60A84408" w14:textId="77777777" w:rsidTr="007B6000">
        <w:tc>
          <w:tcPr>
            <w:tcW w:w="959" w:type="dxa"/>
          </w:tcPr>
          <w:p w14:paraId="12E37DA9" w14:textId="7666319D" w:rsidR="00E23849" w:rsidRPr="000C7AB8" w:rsidRDefault="007B6000" w:rsidP="000C7AB8">
            <w:pPr>
              <w:spacing w:after="0"/>
              <w:rPr>
                <w:sz w:val="16"/>
                <w:szCs w:val="16"/>
              </w:rPr>
            </w:pPr>
            <w:r w:rsidRPr="000C7AB8">
              <w:rPr>
                <w:sz w:val="16"/>
                <w:szCs w:val="16"/>
              </w:rPr>
              <w:t>XA2</w:t>
            </w:r>
          </w:p>
        </w:tc>
        <w:tc>
          <w:tcPr>
            <w:tcW w:w="1559" w:type="dxa"/>
          </w:tcPr>
          <w:p w14:paraId="3C587F62" w14:textId="05B13E5E" w:rsidR="00E23849" w:rsidRPr="000C7AB8" w:rsidRDefault="007B6000" w:rsidP="000C7AB8">
            <w:pPr>
              <w:spacing w:after="0"/>
              <w:rPr>
                <w:sz w:val="16"/>
                <w:szCs w:val="16"/>
              </w:rPr>
            </w:pPr>
            <w:r w:rsidRPr="000C7AB8">
              <w:rPr>
                <w:sz w:val="16"/>
                <w:szCs w:val="16"/>
              </w:rPr>
              <w:t>Umiarkowana agresja chemiczna</w:t>
            </w:r>
          </w:p>
        </w:tc>
        <w:tc>
          <w:tcPr>
            <w:tcW w:w="2552" w:type="dxa"/>
          </w:tcPr>
          <w:p w14:paraId="2A1B94EA" w14:textId="3317DC39" w:rsidR="00E23849" w:rsidRPr="000C7AB8" w:rsidRDefault="007B6000" w:rsidP="000C7AB8">
            <w:pPr>
              <w:spacing w:after="0"/>
              <w:rPr>
                <w:sz w:val="16"/>
                <w:szCs w:val="16"/>
              </w:rPr>
            </w:pPr>
            <w:r w:rsidRPr="000C7AB8">
              <w:rPr>
                <w:sz w:val="16"/>
                <w:szCs w:val="16"/>
              </w:rPr>
              <w:t>Beton narażony na kontakt z gruntem i wodą gruntową zgodnie z tabelą 2</w:t>
            </w:r>
          </w:p>
        </w:tc>
        <w:tc>
          <w:tcPr>
            <w:tcW w:w="1275" w:type="dxa"/>
          </w:tcPr>
          <w:p w14:paraId="7F2CA554" w14:textId="53E1A678" w:rsidR="00E23849" w:rsidRPr="000C7AB8" w:rsidRDefault="000C7AB8" w:rsidP="000C7AB8">
            <w:pPr>
              <w:spacing w:after="0"/>
              <w:rPr>
                <w:sz w:val="16"/>
                <w:szCs w:val="16"/>
              </w:rPr>
            </w:pPr>
            <w:r w:rsidRPr="000C7AB8">
              <w:rPr>
                <w:sz w:val="16"/>
                <w:szCs w:val="16"/>
              </w:rPr>
              <w:t>320</w:t>
            </w:r>
          </w:p>
        </w:tc>
        <w:tc>
          <w:tcPr>
            <w:tcW w:w="1524" w:type="dxa"/>
          </w:tcPr>
          <w:p w14:paraId="6ECF7CED" w14:textId="6DC5CA0A" w:rsidR="00E23849" w:rsidRPr="000C7AB8" w:rsidRDefault="000C7AB8" w:rsidP="000C7AB8">
            <w:pPr>
              <w:spacing w:after="0"/>
              <w:rPr>
                <w:sz w:val="16"/>
                <w:szCs w:val="16"/>
              </w:rPr>
            </w:pPr>
            <w:r w:rsidRPr="000C7AB8">
              <w:rPr>
                <w:sz w:val="16"/>
                <w:szCs w:val="16"/>
              </w:rPr>
              <w:t>0,50</w:t>
            </w:r>
          </w:p>
        </w:tc>
        <w:tc>
          <w:tcPr>
            <w:tcW w:w="1419" w:type="dxa"/>
          </w:tcPr>
          <w:p w14:paraId="28F88237" w14:textId="03FE25C2" w:rsidR="00E23849" w:rsidRPr="000C7AB8" w:rsidRDefault="000C7AB8" w:rsidP="000C7AB8">
            <w:pPr>
              <w:spacing w:after="0"/>
              <w:rPr>
                <w:sz w:val="16"/>
                <w:szCs w:val="16"/>
              </w:rPr>
            </w:pPr>
            <w:r w:rsidRPr="000C7AB8">
              <w:rPr>
                <w:sz w:val="16"/>
                <w:szCs w:val="16"/>
              </w:rPr>
              <w:t>C30/37</w:t>
            </w:r>
          </w:p>
        </w:tc>
      </w:tr>
    </w:tbl>
    <w:p w14:paraId="78534C04" w14:textId="1B4B51F3" w:rsidR="00E23849" w:rsidRDefault="00E23849" w:rsidP="00E23849">
      <w:pPr>
        <w:spacing w:after="0"/>
        <w:jc w:val="both"/>
        <w:rPr>
          <w:rFonts w:cs="Calibri"/>
          <w:b/>
          <w:bCs/>
        </w:rPr>
      </w:pPr>
    </w:p>
    <w:p w14:paraId="3393A641" w14:textId="2768B8ED" w:rsidR="000C7AB8" w:rsidRDefault="000C7AB8" w:rsidP="00E23849">
      <w:pPr>
        <w:spacing w:after="0"/>
        <w:jc w:val="both"/>
        <w:rPr>
          <w:rFonts w:cs="Calibri"/>
          <w:b/>
          <w:bCs/>
        </w:rPr>
      </w:pPr>
      <w:r>
        <w:t>Tabela 2: Wartości graniczne dla klas ekspozycji XA</w:t>
      </w:r>
    </w:p>
    <w:tbl>
      <w:tblPr>
        <w:tblStyle w:val="Tabela-Siatka"/>
        <w:tblW w:w="0" w:type="auto"/>
        <w:tblLook w:val="04A0" w:firstRow="1" w:lastRow="0" w:firstColumn="1" w:lastColumn="0" w:noHBand="0" w:noVBand="1"/>
      </w:tblPr>
      <w:tblGrid>
        <w:gridCol w:w="3070"/>
        <w:gridCol w:w="3071"/>
        <w:gridCol w:w="3071"/>
      </w:tblGrid>
      <w:tr w:rsidR="000C7AB8" w:rsidRPr="002C4322" w14:paraId="0BE76DA9" w14:textId="77777777" w:rsidTr="000C7AB8">
        <w:tc>
          <w:tcPr>
            <w:tcW w:w="3070" w:type="dxa"/>
          </w:tcPr>
          <w:p w14:paraId="2F3DE42C" w14:textId="2B8B281E" w:rsidR="000C7AB8" w:rsidRPr="002C4322" w:rsidRDefault="000C7AB8" w:rsidP="000C7AB8">
            <w:pPr>
              <w:spacing w:after="0"/>
              <w:jc w:val="center"/>
              <w:rPr>
                <w:rFonts w:asciiTheme="minorHAnsi" w:hAnsiTheme="minorHAnsi" w:cstheme="minorHAnsi"/>
                <w:b/>
                <w:bCs/>
                <w:sz w:val="16"/>
                <w:szCs w:val="16"/>
              </w:rPr>
            </w:pPr>
            <w:r w:rsidRPr="002C4322">
              <w:rPr>
                <w:rFonts w:asciiTheme="minorHAnsi" w:hAnsiTheme="minorHAnsi" w:cstheme="minorHAnsi"/>
                <w:b/>
                <w:bCs/>
                <w:sz w:val="16"/>
                <w:szCs w:val="16"/>
              </w:rPr>
              <w:t>Właściwość chemiczna</w:t>
            </w:r>
          </w:p>
        </w:tc>
        <w:tc>
          <w:tcPr>
            <w:tcW w:w="3071" w:type="dxa"/>
          </w:tcPr>
          <w:p w14:paraId="746734A9" w14:textId="31212740" w:rsidR="000C7AB8" w:rsidRPr="002C4322" w:rsidRDefault="000C7AB8" w:rsidP="000C7AB8">
            <w:pPr>
              <w:spacing w:after="0"/>
              <w:jc w:val="center"/>
              <w:rPr>
                <w:rFonts w:asciiTheme="minorHAnsi" w:hAnsiTheme="minorHAnsi" w:cstheme="minorHAnsi"/>
                <w:b/>
                <w:bCs/>
                <w:sz w:val="16"/>
                <w:szCs w:val="16"/>
              </w:rPr>
            </w:pPr>
            <w:r w:rsidRPr="002C4322">
              <w:rPr>
                <w:rFonts w:asciiTheme="minorHAnsi" w:hAnsiTheme="minorHAnsi" w:cstheme="minorHAnsi"/>
                <w:b/>
                <w:bCs/>
                <w:sz w:val="16"/>
                <w:szCs w:val="16"/>
              </w:rPr>
              <w:t>Metoda badania</w:t>
            </w:r>
          </w:p>
        </w:tc>
        <w:tc>
          <w:tcPr>
            <w:tcW w:w="3071" w:type="dxa"/>
          </w:tcPr>
          <w:p w14:paraId="365C3EF1" w14:textId="160E995E" w:rsidR="000C7AB8" w:rsidRPr="002C4322" w:rsidRDefault="000C7AB8" w:rsidP="000C7AB8">
            <w:pPr>
              <w:spacing w:after="0"/>
              <w:jc w:val="center"/>
              <w:rPr>
                <w:rFonts w:asciiTheme="minorHAnsi" w:hAnsiTheme="minorHAnsi" w:cstheme="minorHAnsi"/>
                <w:b/>
                <w:bCs/>
                <w:sz w:val="16"/>
                <w:szCs w:val="16"/>
              </w:rPr>
            </w:pPr>
            <w:r w:rsidRPr="002C4322">
              <w:rPr>
                <w:rFonts w:asciiTheme="minorHAnsi" w:hAnsiTheme="minorHAnsi" w:cstheme="minorHAnsi"/>
                <w:b/>
                <w:bCs/>
                <w:sz w:val="16"/>
                <w:szCs w:val="16"/>
              </w:rPr>
              <w:t>XA2</w:t>
            </w:r>
          </w:p>
        </w:tc>
      </w:tr>
      <w:tr w:rsidR="000C7AB8" w:rsidRPr="002C4322" w14:paraId="4A543DD9" w14:textId="77777777" w:rsidTr="00FE588F">
        <w:tc>
          <w:tcPr>
            <w:tcW w:w="9212" w:type="dxa"/>
            <w:gridSpan w:val="3"/>
          </w:tcPr>
          <w:p w14:paraId="407B03F9" w14:textId="43322141" w:rsidR="000C7AB8" w:rsidRPr="002C4322" w:rsidRDefault="000C7AB8" w:rsidP="000C7AB8">
            <w:pPr>
              <w:spacing w:after="0"/>
              <w:jc w:val="center"/>
              <w:rPr>
                <w:rFonts w:asciiTheme="minorHAnsi" w:hAnsiTheme="minorHAnsi" w:cstheme="minorHAnsi"/>
                <w:b/>
                <w:bCs/>
                <w:sz w:val="16"/>
                <w:szCs w:val="16"/>
              </w:rPr>
            </w:pPr>
            <w:r w:rsidRPr="002C4322">
              <w:rPr>
                <w:rFonts w:asciiTheme="minorHAnsi" w:hAnsiTheme="minorHAnsi" w:cstheme="minorHAnsi"/>
                <w:b/>
                <w:bCs/>
                <w:sz w:val="16"/>
                <w:szCs w:val="16"/>
              </w:rPr>
              <w:t>Woda gruntowa</w:t>
            </w:r>
          </w:p>
        </w:tc>
      </w:tr>
      <w:tr w:rsidR="000C7AB8" w:rsidRPr="002C4322" w14:paraId="73FC7EC5" w14:textId="77777777" w:rsidTr="000C7AB8">
        <w:tc>
          <w:tcPr>
            <w:tcW w:w="3070" w:type="dxa"/>
          </w:tcPr>
          <w:p w14:paraId="1CD5983C" w14:textId="0115A8EF" w:rsidR="000C7AB8" w:rsidRPr="002C4322" w:rsidRDefault="000C7AB8" w:rsidP="002C4322">
            <w:pPr>
              <w:spacing w:after="0"/>
              <w:jc w:val="center"/>
              <w:rPr>
                <w:rFonts w:cs="Calibri"/>
                <w:sz w:val="16"/>
                <w:szCs w:val="16"/>
              </w:rPr>
            </w:pPr>
            <w:r w:rsidRPr="002C4322">
              <w:rPr>
                <w:sz w:val="16"/>
                <w:szCs w:val="16"/>
              </w:rPr>
              <w:t>SO</w:t>
            </w:r>
            <w:r w:rsidRPr="002C4322">
              <w:rPr>
                <w:sz w:val="16"/>
                <w:szCs w:val="16"/>
                <w:vertAlign w:val="subscript"/>
              </w:rPr>
              <w:t>4</w:t>
            </w:r>
            <w:r w:rsidRPr="002C4322">
              <w:rPr>
                <w:sz w:val="16"/>
                <w:szCs w:val="16"/>
                <w:vertAlign w:val="superscript"/>
              </w:rPr>
              <w:t>2-</w:t>
            </w:r>
            <w:r w:rsidRPr="002C4322">
              <w:rPr>
                <w:sz w:val="16"/>
                <w:szCs w:val="16"/>
              </w:rPr>
              <w:t xml:space="preserve"> [mg/l]</w:t>
            </w:r>
          </w:p>
        </w:tc>
        <w:tc>
          <w:tcPr>
            <w:tcW w:w="3071" w:type="dxa"/>
          </w:tcPr>
          <w:p w14:paraId="493DE693" w14:textId="7E33B670" w:rsidR="000C7AB8" w:rsidRPr="002C4322" w:rsidRDefault="00E26F36" w:rsidP="002C4322">
            <w:pPr>
              <w:spacing w:after="0"/>
              <w:jc w:val="center"/>
              <w:rPr>
                <w:rFonts w:cs="Calibri"/>
                <w:sz w:val="16"/>
                <w:szCs w:val="16"/>
              </w:rPr>
            </w:pPr>
            <w:r w:rsidRPr="002C4322">
              <w:rPr>
                <w:sz w:val="16"/>
                <w:szCs w:val="16"/>
              </w:rPr>
              <w:t>EN 196-2</w:t>
            </w:r>
          </w:p>
        </w:tc>
        <w:tc>
          <w:tcPr>
            <w:tcW w:w="3071" w:type="dxa"/>
          </w:tcPr>
          <w:p w14:paraId="66C378C1" w14:textId="598BA1AF" w:rsidR="000C7AB8" w:rsidRPr="002C4322" w:rsidRDefault="00E26F36" w:rsidP="002C4322">
            <w:pPr>
              <w:spacing w:after="0"/>
              <w:jc w:val="center"/>
              <w:rPr>
                <w:rFonts w:cs="Calibri"/>
                <w:sz w:val="16"/>
                <w:szCs w:val="16"/>
              </w:rPr>
            </w:pPr>
            <w:r w:rsidRPr="002C4322">
              <w:rPr>
                <w:sz w:val="16"/>
                <w:szCs w:val="16"/>
              </w:rPr>
              <w:t>&gt; 600 i ≤ 3000</w:t>
            </w:r>
          </w:p>
        </w:tc>
      </w:tr>
      <w:tr w:rsidR="000C7AB8" w:rsidRPr="002C4322" w14:paraId="4ADAAA85" w14:textId="77777777" w:rsidTr="000C7AB8">
        <w:tc>
          <w:tcPr>
            <w:tcW w:w="3070" w:type="dxa"/>
          </w:tcPr>
          <w:p w14:paraId="389832AB" w14:textId="1EB8A206" w:rsidR="000C7AB8" w:rsidRPr="002C4322" w:rsidRDefault="00E26F36" w:rsidP="002C4322">
            <w:pPr>
              <w:spacing w:after="0"/>
              <w:jc w:val="center"/>
              <w:rPr>
                <w:rFonts w:cs="Calibri"/>
                <w:sz w:val="16"/>
                <w:szCs w:val="16"/>
              </w:rPr>
            </w:pPr>
            <w:proofErr w:type="spellStart"/>
            <w:r w:rsidRPr="002C4322">
              <w:rPr>
                <w:rFonts w:cs="Calibri"/>
                <w:sz w:val="16"/>
                <w:szCs w:val="16"/>
              </w:rPr>
              <w:t>pH</w:t>
            </w:r>
            <w:proofErr w:type="spellEnd"/>
          </w:p>
        </w:tc>
        <w:tc>
          <w:tcPr>
            <w:tcW w:w="3071" w:type="dxa"/>
          </w:tcPr>
          <w:p w14:paraId="41DCA190" w14:textId="2A0F44B0" w:rsidR="000C7AB8" w:rsidRPr="002C4322" w:rsidRDefault="00E26F36" w:rsidP="002C4322">
            <w:pPr>
              <w:spacing w:after="0"/>
              <w:jc w:val="center"/>
              <w:rPr>
                <w:rFonts w:cs="Calibri"/>
                <w:sz w:val="16"/>
                <w:szCs w:val="16"/>
              </w:rPr>
            </w:pPr>
            <w:r w:rsidRPr="002C4322">
              <w:rPr>
                <w:sz w:val="16"/>
                <w:szCs w:val="16"/>
              </w:rPr>
              <w:t>ISO 4316</w:t>
            </w:r>
          </w:p>
        </w:tc>
        <w:tc>
          <w:tcPr>
            <w:tcW w:w="3071" w:type="dxa"/>
          </w:tcPr>
          <w:p w14:paraId="482EEA2D" w14:textId="1337AA44" w:rsidR="000C7AB8" w:rsidRPr="002C4322" w:rsidRDefault="00E26F36" w:rsidP="002C4322">
            <w:pPr>
              <w:spacing w:after="0"/>
              <w:jc w:val="center"/>
              <w:rPr>
                <w:rFonts w:cs="Calibri"/>
                <w:sz w:val="16"/>
                <w:szCs w:val="16"/>
              </w:rPr>
            </w:pPr>
            <w:r w:rsidRPr="002C4322">
              <w:rPr>
                <w:rFonts w:cs="Calibri"/>
                <w:sz w:val="16"/>
                <w:szCs w:val="16"/>
              </w:rPr>
              <w:t xml:space="preserve">&lt; 5,5 i </w:t>
            </w:r>
            <w:r w:rsidRPr="002C4322">
              <w:rPr>
                <w:sz w:val="16"/>
                <w:szCs w:val="16"/>
              </w:rPr>
              <w:t>≥ 4,5</w:t>
            </w:r>
          </w:p>
        </w:tc>
      </w:tr>
      <w:tr w:rsidR="000C7AB8" w:rsidRPr="002C4322" w14:paraId="33CCE654" w14:textId="77777777" w:rsidTr="000C7AB8">
        <w:tc>
          <w:tcPr>
            <w:tcW w:w="3070" w:type="dxa"/>
          </w:tcPr>
          <w:p w14:paraId="41CC98EB" w14:textId="5C07559B" w:rsidR="000C7AB8" w:rsidRPr="002C4322" w:rsidRDefault="00E26F36" w:rsidP="002C4322">
            <w:pPr>
              <w:spacing w:after="0"/>
              <w:jc w:val="center"/>
              <w:rPr>
                <w:rFonts w:cs="Calibri"/>
                <w:sz w:val="16"/>
                <w:szCs w:val="16"/>
              </w:rPr>
            </w:pPr>
            <w:r w:rsidRPr="002C4322">
              <w:rPr>
                <w:sz w:val="16"/>
                <w:szCs w:val="16"/>
              </w:rPr>
              <w:t>CO</w:t>
            </w:r>
            <w:r w:rsidRPr="002C4322">
              <w:rPr>
                <w:sz w:val="16"/>
                <w:szCs w:val="16"/>
                <w:vertAlign w:val="subscript"/>
              </w:rPr>
              <w:t>2</w:t>
            </w:r>
            <w:r w:rsidRPr="002C4322">
              <w:rPr>
                <w:sz w:val="16"/>
                <w:szCs w:val="16"/>
              </w:rPr>
              <w:t xml:space="preserve"> agresywny [mg/l]</w:t>
            </w:r>
          </w:p>
        </w:tc>
        <w:tc>
          <w:tcPr>
            <w:tcW w:w="3071" w:type="dxa"/>
          </w:tcPr>
          <w:p w14:paraId="611338B9" w14:textId="08F60030" w:rsidR="000C7AB8" w:rsidRPr="002C4322" w:rsidRDefault="00E26F36" w:rsidP="002C4322">
            <w:pPr>
              <w:spacing w:after="0"/>
              <w:jc w:val="center"/>
              <w:rPr>
                <w:rFonts w:cs="Calibri"/>
                <w:sz w:val="16"/>
                <w:szCs w:val="16"/>
              </w:rPr>
            </w:pPr>
            <w:r w:rsidRPr="002C4322">
              <w:rPr>
                <w:sz w:val="16"/>
                <w:szCs w:val="16"/>
              </w:rPr>
              <w:t>EN 13577</w:t>
            </w:r>
          </w:p>
        </w:tc>
        <w:tc>
          <w:tcPr>
            <w:tcW w:w="3071" w:type="dxa"/>
          </w:tcPr>
          <w:p w14:paraId="39740ABE" w14:textId="47FB2B8D" w:rsidR="000C7AB8" w:rsidRPr="002C4322" w:rsidRDefault="00E26F36" w:rsidP="002C4322">
            <w:pPr>
              <w:spacing w:after="0"/>
              <w:jc w:val="center"/>
              <w:rPr>
                <w:rFonts w:cs="Calibri"/>
                <w:sz w:val="16"/>
                <w:szCs w:val="16"/>
              </w:rPr>
            </w:pPr>
            <w:r w:rsidRPr="002C4322">
              <w:rPr>
                <w:sz w:val="16"/>
                <w:szCs w:val="16"/>
              </w:rPr>
              <w:t>&gt; 40 i ≤ 100</w:t>
            </w:r>
          </w:p>
        </w:tc>
      </w:tr>
      <w:tr w:rsidR="000C7AB8" w:rsidRPr="002C4322" w14:paraId="1D69EC8A" w14:textId="77777777" w:rsidTr="000C7AB8">
        <w:tc>
          <w:tcPr>
            <w:tcW w:w="3070" w:type="dxa"/>
          </w:tcPr>
          <w:p w14:paraId="56ACED0C" w14:textId="4D3C03F6" w:rsidR="000C7AB8" w:rsidRPr="002C4322" w:rsidRDefault="00E26F36" w:rsidP="002C4322">
            <w:pPr>
              <w:spacing w:after="0"/>
              <w:jc w:val="center"/>
              <w:rPr>
                <w:rFonts w:cs="Calibri"/>
                <w:sz w:val="16"/>
                <w:szCs w:val="16"/>
              </w:rPr>
            </w:pPr>
            <w:r w:rsidRPr="002C4322">
              <w:rPr>
                <w:sz w:val="16"/>
                <w:szCs w:val="16"/>
              </w:rPr>
              <w:t>NH</w:t>
            </w:r>
            <w:r w:rsidRPr="002C4322">
              <w:rPr>
                <w:sz w:val="16"/>
                <w:szCs w:val="16"/>
                <w:vertAlign w:val="superscript"/>
              </w:rPr>
              <w:t>4+</w:t>
            </w:r>
            <w:r w:rsidRPr="002C4322">
              <w:rPr>
                <w:sz w:val="16"/>
                <w:szCs w:val="16"/>
              </w:rPr>
              <w:t xml:space="preserve"> [mg/l]</w:t>
            </w:r>
          </w:p>
        </w:tc>
        <w:tc>
          <w:tcPr>
            <w:tcW w:w="3071" w:type="dxa"/>
          </w:tcPr>
          <w:p w14:paraId="430EB89B" w14:textId="4B86D973" w:rsidR="000C7AB8" w:rsidRPr="002C4322" w:rsidRDefault="00E26F36" w:rsidP="002C4322">
            <w:pPr>
              <w:spacing w:after="0"/>
              <w:jc w:val="center"/>
              <w:rPr>
                <w:rFonts w:cs="Calibri"/>
                <w:sz w:val="16"/>
                <w:szCs w:val="16"/>
              </w:rPr>
            </w:pPr>
            <w:r w:rsidRPr="002C4322">
              <w:rPr>
                <w:sz w:val="16"/>
                <w:szCs w:val="16"/>
              </w:rPr>
              <w:t>ISO 7150-1</w:t>
            </w:r>
          </w:p>
        </w:tc>
        <w:tc>
          <w:tcPr>
            <w:tcW w:w="3071" w:type="dxa"/>
          </w:tcPr>
          <w:p w14:paraId="26CCE495" w14:textId="79EDA17E" w:rsidR="000C7AB8" w:rsidRPr="002C4322" w:rsidRDefault="00E26F36" w:rsidP="002C4322">
            <w:pPr>
              <w:spacing w:after="0"/>
              <w:jc w:val="center"/>
              <w:rPr>
                <w:rFonts w:cs="Calibri"/>
                <w:sz w:val="16"/>
                <w:szCs w:val="16"/>
              </w:rPr>
            </w:pPr>
            <w:r w:rsidRPr="002C4322">
              <w:rPr>
                <w:sz w:val="16"/>
                <w:szCs w:val="16"/>
              </w:rPr>
              <w:t>&gt; 30 i ≤ 60</w:t>
            </w:r>
          </w:p>
        </w:tc>
      </w:tr>
      <w:tr w:rsidR="000C7AB8" w:rsidRPr="002C4322" w14:paraId="5DFA16A2" w14:textId="77777777" w:rsidTr="000C7AB8">
        <w:tc>
          <w:tcPr>
            <w:tcW w:w="3070" w:type="dxa"/>
          </w:tcPr>
          <w:p w14:paraId="03A43DC2" w14:textId="0E579D9D" w:rsidR="000C7AB8" w:rsidRPr="002C4322" w:rsidRDefault="00E26F36" w:rsidP="002C4322">
            <w:pPr>
              <w:spacing w:after="0"/>
              <w:jc w:val="center"/>
              <w:rPr>
                <w:rFonts w:cs="Calibri"/>
                <w:sz w:val="16"/>
                <w:szCs w:val="16"/>
              </w:rPr>
            </w:pPr>
            <w:r w:rsidRPr="002C4322">
              <w:rPr>
                <w:sz w:val="16"/>
                <w:szCs w:val="16"/>
              </w:rPr>
              <w:t>Mg</w:t>
            </w:r>
            <w:r w:rsidRPr="002C4322">
              <w:rPr>
                <w:sz w:val="16"/>
                <w:szCs w:val="16"/>
                <w:vertAlign w:val="superscript"/>
              </w:rPr>
              <w:t>2+</w:t>
            </w:r>
            <w:r w:rsidRPr="002C4322">
              <w:rPr>
                <w:sz w:val="16"/>
                <w:szCs w:val="16"/>
              </w:rPr>
              <w:t xml:space="preserve"> [mg/l]</w:t>
            </w:r>
          </w:p>
        </w:tc>
        <w:tc>
          <w:tcPr>
            <w:tcW w:w="3071" w:type="dxa"/>
          </w:tcPr>
          <w:p w14:paraId="4EE1E3DD" w14:textId="2D44F5B9" w:rsidR="000C7AB8" w:rsidRPr="002C4322" w:rsidRDefault="00E26F36" w:rsidP="002C4322">
            <w:pPr>
              <w:spacing w:after="0"/>
              <w:jc w:val="center"/>
              <w:rPr>
                <w:rFonts w:cs="Calibri"/>
                <w:sz w:val="16"/>
                <w:szCs w:val="16"/>
              </w:rPr>
            </w:pPr>
            <w:r w:rsidRPr="002C4322">
              <w:rPr>
                <w:sz w:val="16"/>
                <w:szCs w:val="16"/>
              </w:rPr>
              <w:t>EN ISO 7980</w:t>
            </w:r>
          </w:p>
        </w:tc>
        <w:tc>
          <w:tcPr>
            <w:tcW w:w="3071" w:type="dxa"/>
          </w:tcPr>
          <w:p w14:paraId="4AEF6B74" w14:textId="4F62315B" w:rsidR="000C7AB8" w:rsidRPr="002C4322" w:rsidRDefault="00E26F36" w:rsidP="002C4322">
            <w:pPr>
              <w:spacing w:after="0"/>
              <w:jc w:val="center"/>
              <w:rPr>
                <w:rFonts w:cs="Calibri"/>
                <w:sz w:val="16"/>
                <w:szCs w:val="16"/>
              </w:rPr>
            </w:pPr>
            <w:r w:rsidRPr="002C4322">
              <w:rPr>
                <w:sz w:val="16"/>
                <w:szCs w:val="16"/>
              </w:rPr>
              <w:t>&gt; 1000 i ≤ 3000</w:t>
            </w:r>
          </w:p>
        </w:tc>
      </w:tr>
      <w:tr w:rsidR="00E26F36" w:rsidRPr="002C4322" w14:paraId="5ECE8736" w14:textId="77777777" w:rsidTr="0077510C">
        <w:tc>
          <w:tcPr>
            <w:tcW w:w="9212" w:type="dxa"/>
            <w:gridSpan w:val="3"/>
          </w:tcPr>
          <w:p w14:paraId="52BAAEBE" w14:textId="1A6A74F5" w:rsidR="00E26F36" w:rsidRPr="002C4322" w:rsidRDefault="00E26F36" w:rsidP="002C4322">
            <w:pPr>
              <w:spacing w:after="0"/>
              <w:jc w:val="center"/>
              <w:rPr>
                <w:rFonts w:asciiTheme="minorHAnsi" w:hAnsiTheme="minorHAnsi" w:cstheme="minorHAnsi"/>
                <w:b/>
                <w:bCs/>
                <w:sz w:val="16"/>
                <w:szCs w:val="16"/>
              </w:rPr>
            </w:pPr>
            <w:r w:rsidRPr="002C4322">
              <w:rPr>
                <w:rFonts w:asciiTheme="minorHAnsi" w:hAnsiTheme="minorHAnsi" w:cstheme="minorHAnsi"/>
                <w:b/>
                <w:bCs/>
                <w:sz w:val="16"/>
                <w:szCs w:val="16"/>
              </w:rPr>
              <w:t>Grunt</w:t>
            </w:r>
          </w:p>
        </w:tc>
      </w:tr>
      <w:tr w:rsidR="00E26F36" w:rsidRPr="002C4322" w14:paraId="48CA782C" w14:textId="77777777" w:rsidTr="000C7AB8">
        <w:tc>
          <w:tcPr>
            <w:tcW w:w="3070" w:type="dxa"/>
          </w:tcPr>
          <w:p w14:paraId="7F5712D0" w14:textId="17A84633" w:rsidR="00E26F36" w:rsidRPr="002C4322" w:rsidRDefault="00E26F36" w:rsidP="002C4322">
            <w:pPr>
              <w:spacing w:after="0"/>
              <w:jc w:val="center"/>
              <w:rPr>
                <w:rFonts w:cs="Calibri"/>
                <w:sz w:val="16"/>
                <w:szCs w:val="16"/>
              </w:rPr>
            </w:pPr>
            <w:r w:rsidRPr="002C4322">
              <w:rPr>
                <w:sz w:val="16"/>
                <w:szCs w:val="16"/>
              </w:rPr>
              <w:t>SO</w:t>
            </w:r>
            <w:r w:rsidRPr="002C4322">
              <w:rPr>
                <w:sz w:val="16"/>
                <w:szCs w:val="16"/>
                <w:vertAlign w:val="subscript"/>
              </w:rPr>
              <w:t>4</w:t>
            </w:r>
            <w:r w:rsidRPr="002C4322">
              <w:rPr>
                <w:sz w:val="16"/>
                <w:szCs w:val="16"/>
                <w:vertAlign w:val="superscript"/>
              </w:rPr>
              <w:t>2-</w:t>
            </w:r>
            <w:r w:rsidRPr="002C4322">
              <w:rPr>
                <w:sz w:val="16"/>
                <w:szCs w:val="16"/>
              </w:rPr>
              <w:t xml:space="preserve"> całkowite) [mg/kg]</w:t>
            </w:r>
          </w:p>
        </w:tc>
        <w:tc>
          <w:tcPr>
            <w:tcW w:w="3071" w:type="dxa"/>
          </w:tcPr>
          <w:p w14:paraId="4A79C31A" w14:textId="5B6E421A" w:rsidR="00E26F36" w:rsidRPr="002C4322" w:rsidRDefault="002C4322" w:rsidP="002C4322">
            <w:pPr>
              <w:spacing w:after="0"/>
              <w:jc w:val="center"/>
              <w:rPr>
                <w:rFonts w:cs="Calibri"/>
                <w:sz w:val="16"/>
                <w:szCs w:val="16"/>
              </w:rPr>
            </w:pPr>
            <w:r w:rsidRPr="002C4322">
              <w:rPr>
                <w:sz w:val="16"/>
                <w:szCs w:val="16"/>
              </w:rPr>
              <w:t>EN 196-2</w:t>
            </w:r>
          </w:p>
        </w:tc>
        <w:tc>
          <w:tcPr>
            <w:tcW w:w="3071" w:type="dxa"/>
          </w:tcPr>
          <w:p w14:paraId="3C3E9AEE" w14:textId="365B5E1A" w:rsidR="00E26F36" w:rsidRPr="002C4322" w:rsidRDefault="002C4322" w:rsidP="002C4322">
            <w:pPr>
              <w:spacing w:after="0"/>
              <w:jc w:val="center"/>
              <w:rPr>
                <w:rFonts w:cs="Calibri"/>
                <w:sz w:val="16"/>
                <w:szCs w:val="16"/>
              </w:rPr>
            </w:pPr>
            <w:r w:rsidRPr="002C4322">
              <w:rPr>
                <w:sz w:val="16"/>
                <w:szCs w:val="16"/>
              </w:rPr>
              <w:t>&gt; 3000 i ≤ 12000</w:t>
            </w:r>
          </w:p>
        </w:tc>
      </w:tr>
    </w:tbl>
    <w:p w14:paraId="0446F683" w14:textId="24E44F5F" w:rsidR="00E23849" w:rsidRDefault="00E23849" w:rsidP="00E23849">
      <w:pPr>
        <w:spacing w:after="0"/>
        <w:jc w:val="both"/>
        <w:rPr>
          <w:rFonts w:cs="Calibri"/>
          <w:b/>
          <w:bCs/>
        </w:rPr>
      </w:pPr>
    </w:p>
    <w:p w14:paraId="2FCB575F" w14:textId="30E43F74" w:rsidR="00074282" w:rsidRPr="00074282" w:rsidRDefault="00074282" w:rsidP="00074282">
      <w:pPr>
        <w:spacing w:after="0"/>
        <w:jc w:val="both"/>
        <w:rPr>
          <w:rFonts w:cs="Calibri"/>
        </w:rPr>
      </w:pPr>
      <w:r>
        <w:rPr>
          <w:rFonts w:cs="Calibri"/>
        </w:rPr>
        <w:t>Do</w:t>
      </w:r>
      <w:r w:rsidRPr="00074282">
        <w:rPr>
          <w:rFonts w:cs="Calibri"/>
        </w:rPr>
        <w:t xml:space="preserve"> wykonania betonu konstrukcyjnego powinien być stosowany cement portlandzki CEM I</w:t>
      </w:r>
      <w:r>
        <w:rPr>
          <w:rFonts w:cs="Calibri"/>
        </w:rPr>
        <w:t xml:space="preserve"> </w:t>
      </w:r>
      <w:proofErr w:type="spellStart"/>
      <w:r w:rsidRPr="00074282">
        <w:rPr>
          <w:rFonts w:cs="Calibri"/>
        </w:rPr>
        <w:t>niskoalkaliczny</w:t>
      </w:r>
      <w:proofErr w:type="spellEnd"/>
      <w:r w:rsidRPr="00074282">
        <w:rPr>
          <w:rFonts w:cs="Calibri"/>
        </w:rPr>
        <w:t xml:space="preserve"> spełniający wymagania normy </w:t>
      </w:r>
      <w:r w:rsidR="00934158" w:rsidRPr="00934158">
        <w:rPr>
          <w:rFonts w:cs="Calibri"/>
        </w:rPr>
        <w:t>PN-EN 197-1:2012</w:t>
      </w:r>
      <w:r w:rsidRPr="00074282">
        <w:rPr>
          <w:rFonts w:cs="Calibri"/>
        </w:rPr>
        <w:t>:</w:t>
      </w:r>
    </w:p>
    <w:p w14:paraId="07CFBE9B" w14:textId="5781B2B9" w:rsidR="00074282" w:rsidRPr="00AC7B7C" w:rsidRDefault="00074282" w:rsidP="00EB7764">
      <w:pPr>
        <w:pStyle w:val="Akapitzlist"/>
        <w:numPr>
          <w:ilvl w:val="0"/>
          <w:numId w:val="5"/>
        </w:numPr>
        <w:spacing w:after="0"/>
        <w:jc w:val="both"/>
        <w:rPr>
          <w:rFonts w:cs="Calibri"/>
        </w:rPr>
      </w:pPr>
      <w:r w:rsidRPr="00AC7B7C">
        <w:rPr>
          <w:rFonts w:cs="Calibri"/>
        </w:rPr>
        <w:t>cement portlandzki CEM I o całkowitej zawartości alkaliów Na2Oeq według PN-EN 1962 do 0,8 % i początku</w:t>
      </w:r>
      <w:r w:rsidR="00AC7B7C" w:rsidRPr="00AC7B7C">
        <w:rPr>
          <w:rFonts w:cs="Calibri"/>
        </w:rPr>
        <w:t xml:space="preserve"> </w:t>
      </w:r>
      <w:r w:rsidRPr="00AC7B7C">
        <w:rPr>
          <w:rFonts w:cs="Calibri"/>
        </w:rPr>
        <w:t>wiązania według PN-EN 196-3 powyżej 120 minut,</w:t>
      </w:r>
    </w:p>
    <w:p w14:paraId="47CFE745" w14:textId="77777777" w:rsidR="00074282" w:rsidRPr="00AC7B7C" w:rsidRDefault="00074282" w:rsidP="00EB7764">
      <w:pPr>
        <w:pStyle w:val="Akapitzlist"/>
        <w:numPr>
          <w:ilvl w:val="0"/>
          <w:numId w:val="5"/>
        </w:numPr>
        <w:spacing w:after="0"/>
        <w:jc w:val="both"/>
        <w:rPr>
          <w:rFonts w:cs="Calibri"/>
        </w:rPr>
      </w:pPr>
      <w:r w:rsidRPr="00AC7B7C">
        <w:rPr>
          <w:rFonts w:cs="Calibri"/>
        </w:rPr>
        <w:t>do betonu klasy C20/25 (B25) - klasy 32,5 NA,</w:t>
      </w:r>
    </w:p>
    <w:p w14:paraId="0DE82D4B" w14:textId="77777777" w:rsidR="00074282" w:rsidRPr="00AC7B7C" w:rsidRDefault="00074282" w:rsidP="00EB7764">
      <w:pPr>
        <w:pStyle w:val="Akapitzlist"/>
        <w:numPr>
          <w:ilvl w:val="0"/>
          <w:numId w:val="5"/>
        </w:numPr>
        <w:spacing w:after="0"/>
        <w:jc w:val="both"/>
        <w:rPr>
          <w:rFonts w:cs="Calibri"/>
        </w:rPr>
      </w:pPr>
      <w:r w:rsidRPr="00AC7B7C">
        <w:rPr>
          <w:rFonts w:cs="Calibri"/>
        </w:rPr>
        <w:t>do betonu klasy C25/30 (B30) do C30/37 (B40) - klasy 42,5 NA,</w:t>
      </w:r>
    </w:p>
    <w:p w14:paraId="1F1E46F4" w14:textId="77777777" w:rsidR="00074282" w:rsidRPr="00AC7B7C" w:rsidRDefault="00074282" w:rsidP="00EB7764">
      <w:pPr>
        <w:pStyle w:val="Akapitzlist"/>
        <w:numPr>
          <w:ilvl w:val="0"/>
          <w:numId w:val="5"/>
        </w:numPr>
        <w:spacing w:after="0"/>
        <w:jc w:val="both"/>
        <w:rPr>
          <w:rFonts w:cs="Calibri"/>
        </w:rPr>
      </w:pPr>
      <w:r w:rsidRPr="00AC7B7C">
        <w:rPr>
          <w:rFonts w:cs="Calibri"/>
        </w:rPr>
        <w:t>do betonu klasy wyższej niż C30/37 (B40) – klasy nie niższej niż 42,5 NA.</w:t>
      </w:r>
    </w:p>
    <w:p w14:paraId="6468526D" w14:textId="10F01A1B" w:rsidR="00074282" w:rsidRPr="00074282" w:rsidRDefault="00074282" w:rsidP="00074282">
      <w:pPr>
        <w:spacing w:after="0"/>
        <w:jc w:val="both"/>
        <w:rPr>
          <w:rFonts w:cs="Calibri"/>
        </w:rPr>
      </w:pPr>
      <w:r w:rsidRPr="00074282">
        <w:rPr>
          <w:rFonts w:cs="Calibri"/>
        </w:rPr>
        <w:t>Do betonu konstrukcyjnego w elemencie narażonym na oddziaływanie środowiska w klasach ekspozycji XA2 i XA3 oraz</w:t>
      </w:r>
      <w:r w:rsidR="00AC7B7C">
        <w:rPr>
          <w:rFonts w:cs="Calibri"/>
        </w:rPr>
        <w:t xml:space="preserve"> </w:t>
      </w:r>
      <w:r w:rsidRPr="00074282">
        <w:rPr>
          <w:rFonts w:cs="Calibri"/>
        </w:rPr>
        <w:t>XD3, XS w przypadku podejrzenia wystąpienia agresji chemicznej (siarczanowej), powinien być zastosowany cement</w:t>
      </w:r>
      <w:r w:rsidR="00AC7B7C">
        <w:rPr>
          <w:rFonts w:cs="Calibri"/>
        </w:rPr>
        <w:t xml:space="preserve"> </w:t>
      </w:r>
      <w:r w:rsidRPr="00074282">
        <w:rPr>
          <w:rFonts w:cs="Calibri"/>
        </w:rPr>
        <w:t xml:space="preserve">CEM I odporny na siarczany (SR), zgodny z </w:t>
      </w:r>
      <w:r w:rsidR="00AC7B7C" w:rsidRPr="00934158">
        <w:rPr>
          <w:rFonts w:cs="Calibri"/>
        </w:rPr>
        <w:t>PN-EN 197-1:2012</w:t>
      </w:r>
      <w:r w:rsidRPr="00074282">
        <w:rPr>
          <w:rFonts w:cs="Calibri"/>
        </w:rPr>
        <w:t>, zalecane do stosowania w klasie ekspozycji XA2 i XA3</w:t>
      </w:r>
      <w:r w:rsidR="00AC7B7C">
        <w:rPr>
          <w:rFonts w:cs="Calibri"/>
        </w:rPr>
        <w:t xml:space="preserve"> </w:t>
      </w:r>
      <w:r w:rsidRPr="00074282">
        <w:rPr>
          <w:rFonts w:cs="Calibri"/>
        </w:rPr>
        <w:t xml:space="preserve">w warunkach agresji siarczanowej wg </w:t>
      </w:r>
      <w:r w:rsidR="00AC7B7C" w:rsidRPr="00AC7B7C">
        <w:rPr>
          <w:rFonts w:cs="Calibri"/>
        </w:rPr>
        <w:t>PN-B-06265:2018-10</w:t>
      </w:r>
      <w:r w:rsidRPr="00074282">
        <w:rPr>
          <w:rFonts w:cs="Calibri"/>
        </w:rPr>
        <w:t>.</w:t>
      </w:r>
    </w:p>
    <w:p w14:paraId="112F0341" w14:textId="77777777" w:rsidR="00074282" w:rsidRPr="00074282" w:rsidRDefault="00074282" w:rsidP="00074282">
      <w:pPr>
        <w:spacing w:after="0"/>
        <w:jc w:val="both"/>
        <w:rPr>
          <w:rFonts w:cs="Calibri"/>
        </w:rPr>
      </w:pPr>
      <w:r w:rsidRPr="00074282">
        <w:rPr>
          <w:rFonts w:cs="Calibri"/>
        </w:rPr>
        <w:t>Przy doborze cementu uwzględnia się:</w:t>
      </w:r>
    </w:p>
    <w:p w14:paraId="539C9E6B" w14:textId="77777777" w:rsidR="00074282" w:rsidRPr="00074282" w:rsidRDefault="00074282" w:rsidP="00074282">
      <w:pPr>
        <w:spacing w:after="0"/>
        <w:jc w:val="both"/>
        <w:rPr>
          <w:rFonts w:cs="Calibri"/>
        </w:rPr>
      </w:pPr>
      <w:r w:rsidRPr="00074282">
        <w:rPr>
          <w:rFonts w:cs="Calibri"/>
        </w:rPr>
        <w:t>- rodzaj, wymiary i technologię wykonania konstrukcji;</w:t>
      </w:r>
    </w:p>
    <w:p w14:paraId="3A76457D" w14:textId="77777777" w:rsidR="00074282" w:rsidRPr="00074282" w:rsidRDefault="00074282" w:rsidP="00074282">
      <w:pPr>
        <w:spacing w:after="0"/>
        <w:jc w:val="both"/>
        <w:rPr>
          <w:rFonts w:cs="Calibri"/>
        </w:rPr>
      </w:pPr>
      <w:r w:rsidRPr="00074282">
        <w:rPr>
          <w:rFonts w:cs="Calibri"/>
        </w:rPr>
        <w:t>- warunki wykonania, pielęgnacji i dojrzewania betonu;</w:t>
      </w:r>
    </w:p>
    <w:p w14:paraId="4B7B5E6F" w14:textId="4051F1F9" w:rsidR="00074282" w:rsidRPr="00074282" w:rsidRDefault="00074282" w:rsidP="00074282">
      <w:pPr>
        <w:spacing w:after="0"/>
        <w:jc w:val="both"/>
        <w:rPr>
          <w:rFonts w:cs="Calibri"/>
        </w:rPr>
      </w:pPr>
      <w:r w:rsidRPr="00074282">
        <w:rPr>
          <w:rFonts w:cs="Calibri"/>
        </w:rPr>
        <w:lastRenderedPageBreak/>
        <w:t>- agresywność środowiska, na które będzie narażona konstrukcja, w tym klasyfikację środowiska w odniesieniu</w:t>
      </w:r>
      <w:r w:rsidR="00AC7B7C">
        <w:rPr>
          <w:rFonts w:cs="Calibri"/>
        </w:rPr>
        <w:t xml:space="preserve"> </w:t>
      </w:r>
      <w:r w:rsidRPr="00074282">
        <w:rPr>
          <w:rFonts w:cs="Calibri"/>
        </w:rPr>
        <w:t>do możliwości wystąpienia w betonie konstrukcyjnym zagrożenia destrukcyjną reakcją minerałów</w:t>
      </w:r>
      <w:r w:rsidR="00AC7B7C">
        <w:rPr>
          <w:rFonts w:cs="Calibri"/>
        </w:rPr>
        <w:t xml:space="preserve"> </w:t>
      </w:r>
      <w:r w:rsidRPr="00074282">
        <w:rPr>
          <w:rFonts w:cs="Calibri"/>
        </w:rPr>
        <w:t>z wodorotlenkami sodu i potasu w cieczy porowej betonu.</w:t>
      </w:r>
    </w:p>
    <w:p w14:paraId="56E2B86A" w14:textId="3A38AE28" w:rsidR="00074282" w:rsidRPr="00074282" w:rsidRDefault="00074282" w:rsidP="00074282">
      <w:pPr>
        <w:spacing w:after="0"/>
        <w:jc w:val="both"/>
        <w:rPr>
          <w:rFonts w:cs="Calibri"/>
        </w:rPr>
      </w:pPr>
      <w:r w:rsidRPr="00074282">
        <w:rPr>
          <w:rFonts w:cs="Calibri"/>
        </w:rPr>
        <w:t xml:space="preserve">Dopuszcza </w:t>
      </w:r>
      <w:r w:rsidR="00AC7B7C" w:rsidRPr="00074282">
        <w:rPr>
          <w:rFonts w:cs="Calibri"/>
        </w:rPr>
        <w:t>się</w:t>
      </w:r>
      <w:r w:rsidRPr="00074282">
        <w:rPr>
          <w:rFonts w:cs="Calibri"/>
        </w:rPr>
        <w:t>, w razie potrzeby, zastosowanie cementów o wysokiej wczesnej wytrzymałości.</w:t>
      </w:r>
    </w:p>
    <w:p w14:paraId="52C9B085" w14:textId="2B7E06CE" w:rsidR="00074282" w:rsidRPr="00074282" w:rsidRDefault="00074282" w:rsidP="00074282">
      <w:pPr>
        <w:spacing w:after="0"/>
        <w:jc w:val="both"/>
        <w:rPr>
          <w:rFonts w:cs="Calibri"/>
        </w:rPr>
      </w:pPr>
      <w:r w:rsidRPr="00074282">
        <w:rPr>
          <w:rFonts w:cs="Calibri"/>
        </w:rPr>
        <w:t>Dla żadnej z klas cementów nie dopuszcza się występowania grudek nie dających się rozgnieść w palcach.</w:t>
      </w:r>
      <w:r w:rsidR="00AC7B7C">
        <w:rPr>
          <w:rFonts w:cs="Calibri"/>
        </w:rPr>
        <w:t xml:space="preserve"> </w:t>
      </w:r>
    </w:p>
    <w:p w14:paraId="17B8180B" w14:textId="1FF14AFD" w:rsidR="00E23849" w:rsidRPr="00074282" w:rsidRDefault="00074282" w:rsidP="00074282">
      <w:pPr>
        <w:spacing w:after="0"/>
        <w:jc w:val="both"/>
        <w:rPr>
          <w:rFonts w:cs="Calibri"/>
        </w:rPr>
      </w:pPr>
      <w:r w:rsidRPr="00074282">
        <w:rPr>
          <w:rFonts w:cs="Calibri"/>
        </w:rPr>
        <w:t>Cement należy przechowywać w sposób zgodny z postanowieniami [5] oraz [6]. Producent cementu powinien</w:t>
      </w:r>
      <w:r w:rsidR="00AC7B7C">
        <w:rPr>
          <w:rFonts w:cs="Calibri"/>
        </w:rPr>
        <w:t xml:space="preserve"> </w:t>
      </w:r>
      <w:r w:rsidRPr="00074282">
        <w:rPr>
          <w:rFonts w:cs="Calibri"/>
        </w:rPr>
        <w:t>przedstawić wyniki badań kontrolnych przynajmniej raz na miesiąc. Cement może być dopuszczony do zastosowania na</w:t>
      </w:r>
      <w:r w:rsidR="00AC7B7C">
        <w:rPr>
          <w:rFonts w:cs="Calibri"/>
        </w:rPr>
        <w:t xml:space="preserve"> </w:t>
      </w:r>
      <w:r w:rsidRPr="00074282">
        <w:rPr>
          <w:rFonts w:cs="Calibri"/>
        </w:rPr>
        <w:t>podstawie:</w:t>
      </w:r>
    </w:p>
    <w:p w14:paraId="4FB8334C" w14:textId="2D039CF7" w:rsidR="00AC7B7C" w:rsidRPr="00AC7B7C" w:rsidRDefault="00AC7B7C" w:rsidP="00EB7764">
      <w:pPr>
        <w:pStyle w:val="Akapitzlist"/>
        <w:numPr>
          <w:ilvl w:val="0"/>
          <w:numId w:val="6"/>
        </w:numPr>
        <w:spacing w:after="0"/>
        <w:jc w:val="both"/>
        <w:rPr>
          <w:rFonts w:cs="Calibri"/>
        </w:rPr>
      </w:pPr>
      <w:r w:rsidRPr="00AC7B7C">
        <w:rPr>
          <w:rFonts w:cs="Calibri"/>
        </w:rPr>
        <w:t>Krajowej deklaracji zgodności z Polską Normą, nie mającą statusu normy wycofanej lub Aprobatą Techniczną i oznaczenia znakiem budowlanym</w:t>
      </w:r>
    </w:p>
    <w:p w14:paraId="3AE35B47" w14:textId="44BCC980" w:rsidR="00E23849" w:rsidRPr="00AC7B7C" w:rsidRDefault="00AC7B7C" w:rsidP="00EB7764">
      <w:pPr>
        <w:pStyle w:val="Akapitzlist"/>
        <w:numPr>
          <w:ilvl w:val="0"/>
          <w:numId w:val="6"/>
        </w:numPr>
        <w:spacing w:after="0"/>
        <w:jc w:val="both"/>
        <w:rPr>
          <w:rFonts w:cs="Calibri"/>
        </w:rPr>
      </w:pPr>
      <w:r w:rsidRPr="00AC7B7C">
        <w:rPr>
          <w:rFonts w:cs="Calibri"/>
        </w:rPr>
        <w:t>albo deklaracji zgodności z Polską Normą wprowadzającą normę zharmonizowaną na wyrób budowlany lub Europejską Aprobatą Techniczną oraz oznaczenia CE</w:t>
      </w:r>
    </w:p>
    <w:p w14:paraId="773F0CE5" w14:textId="73367BFC" w:rsidR="00C37FD7" w:rsidRPr="00CC7BD6" w:rsidRDefault="00C37FD7" w:rsidP="00CC7BD6">
      <w:pPr>
        <w:pStyle w:val="Akapitzlist"/>
        <w:numPr>
          <w:ilvl w:val="1"/>
          <w:numId w:val="1"/>
        </w:numPr>
        <w:spacing w:after="0"/>
        <w:jc w:val="both"/>
        <w:rPr>
          <w:rFonts w:cs="Calibri"/>
          <w:b/>
          <w:bCs/>
        </w:rPr>
      </w:pPr>
      <w:r w:rsidRPr="00C37FD7">
        <w:rPr>
          <w:rFonts w:cs="Calibri"/>
          <w:b/>
          <w:bCs/>
        </w:rPr>
        <w:t>Kruszywo</w:t>
      </w:r>
    </w:p>
    <w:p w14:paraId="2809017B" w14:textId="438F290D" w:rsidR="00CD65F1" w:rsidRDefault="00CD65F1" w:rsidP="00C24FBD">
      <w:pPr>
        <w:spacing w:after="0"/>
        <w:jc w:val="both"/>
        <w:rPr>
          <w:rFonts w:cs="Calibri"/>
          <w:bCs/>
        </w:rPr>
      </w:pPr>
      <w:r w:rsidRPr="00CD65F1">
        <w:rPr>
          <w:rFonts w:cs="Calibri"/>
          <w:bCs/>
        </w:rPr>
        <w:t xml:space="preserve">Właściwości kruszywa przedstawione poniżej powinny spełniać wymagania normy </w:t>
      </w:r>
      <w:r>
        <w:t>PN-EN 12620</w:t>
      </w:r>
      <w:r w:rsidRPr="00CD65F1">
        <w:rPr>
          <w:rFonts w:cs="Calibri"/>
          <w:bCs/>
        </w:rPr>
        <w:t xml:space="preserve">. </w:t>
      </w:r>
    </w:p>
    <w:p w14:paraId="68821676" w14:textId="77777777" w:rsidR="00CD65F1" w:rsidRDefault="00CD65F1" w:rsidP="00C24FBD">
      <w:pPr>
        <w:spacing w:after="0"/>
        <w:jc w:val="both"/>
        <w:rPr>
          <w:rFonts w:cs="Calibri"/>
          <w:bCs/>
        </w:rPr>
      </w:pPr>
      <w:r w:rsidRPr="00CD65F1">
        <w:rPr>
          <w:rFonts w:cs="Calibri"/>
          <w:bCs/>
        </w:rPr>
        <w:t xml:space="preserve">Kruszywa powinny charakteryzować się stałością cech fizycznych i jednorodności uziarnienia pozwalającą na wykonanie betonu o stałej jakości. Powinny składać się z elementów niewrażliwych na przemarzanie, nie zawierać składników łamliwych, pylących czy o budowie warstwowej, gipsu ani rozpuszczalnych siarczanów, pirytów, pirytów gliniastych i składników organicznych. </w:t>
      </w:r>
    </w:p>
    <w:p w14:paraId="632C4BC3" w14:textId="77777777" w:rsidR="00CD65F1" w:rsidRDefault="00CD65F1" w:rsidP="00C24FBD">
      <w:pPr>
        <w:spacing w:after="0"/>
        <w:jc w:val="both"/>
        <w:rPr>
          <w:rFonts w:cs="Calibri"/>
          <w:bCs/>
        </w:rPr>
      </w:pPr>
      <w:r w:rsidRPr="00CD65F1">
        <w:rPr>
          <w:rFonts w:cs="Calibri"/>
          <w:bCs/>
        </w:rPr>
        <w:t xml:space="preserve">Producent kruszywa powinien zapewnić odbiorcy dostęp do procesu produkcyjnego oraz wgląd do Zakładowej Kontroli Produkcji. </w:t>
      </w:r>
    </w:p>
    <w:p w14:paraId="43CA7D97" w14:textId="77777777" w:rsidR="00CD65F1" w:rsidRDefault="00CD65F1" w:rsidP="00C24FBD">
      <w:pPr>
        <w:spacing w:after="0"/>
        <w:jc w:val="both"/>
        <w:rPr>
          <w:rFonts w:cs="Calibri"/>
          <w:bCs/>
        </w:rPr>
      </w:pPr>
      <w:r w:rsidRPr="00CD65F1">
        <w:rPr>
          <w:rFonts w:cs="Calibri"/>
          <w:bCs/>
        </w:rPr>
        <w:t xml:space="preserve">Ocena zgodności kruszyw do betonu konstrukcyjnego w drogowych obiektach inżynierskich wymagana jest według systemu oceny 2+ dla kruszywa grubego oraz systemu oceny 4 dla kruszywa drobnego. Kruszywa powinny charakteryzować się stałością cech fizycznych i jednorodności uziarnienia pozwalającą na wykonanie betonu o stałej jakości. Producent kruszywa powinien zapewnić odbiorcy dostęp do procesu produkcyjnego oraz wgląd do Zakładowej Kontroli Produkcji. </w:t>
      </w:r>
    </w:p>
    <w:p w14:paraId="3563813C" w14:textId="77777777" w:rsidR="00CD65F1" w:rsidRDefault="00CD65F1" w:rsidP="00C24FBD">
      <w:pPr>
        <w:spacing w:after="0"/>
        <w:jc w:val="both"/>
        <w:rPr>
          <w:rFonts w:cs="Calibri"/>
          <w:bCs/>
        </w:rPr>
      </w:pPr>
      <w:r w:rsidRPr="00CD65F1">
        <w:rPr>
          <w:rFonts w:cs="Calibri"/>
          <w:bCs/>
        </w:rPr>
        <w:t xml:space="preserve">Do wykonania betonów należy stosować kruszywa naturalne pochodzenia mineralnego, które poza obróbką mechaniczną nie zostały poddane żadnej innej obróbce, których właściwości spełniają wymagania określone w normie PN-EN 12620, i określone poniżej. </w:t>
      </w:r>
    </w:p>
    <w:p w14:paraId="32E16D67" w14:textId="77777777" w:rsidR="00CD65F1" w:rsidRDefault="00CD65F1" w:rsidP="00C24FBD">
      <w:pPr>
        <w:spacing w:after="0"/>
        <w:jc w:val="both"/>
        <w:rPr>
          <w:rFonts w:cs="Calibri"/>
          <w:bCs/>
        </w:rPr>
      </w:pPr>
      <w:r w:rsidRPr="00CD65F1">
        <w:rPr>
          <w:rFonts w:cs="Calibri"/>
          <w:bCs/>
        </w:rPr>
        <w:t xml:space="preserve">W przypadku negatywnych wyników badań/nie spełnienia wymagań, ww. kruszywa i każdy element wykonany ich zastosowaniem zostanie usunięty z budowy na koszt Wykonawcy. </w:t>
      </w:r>
    </w:p>
    <w:p w14:paraId="4AC05742" w14:textId="77777777" w:rsidR="00CD65F1" w:rsidRDefault="00CD65F1" w:rsidP="00C24FBD">
      <w:pPr>
        <w:spacing w:after="0"/>
        <w:jc w:val="both"/>
        <w:rPr>
          <w:rFonts w:cs="Calibri"/>
          <w:bCs/>
        </w:rPr>
      </w:pPr>
      <w:r w:rsidRPr="00CD65F1">
        <w:rPr>
          <w:rFonts w:cs="Calibri"/>
          <w:bCs/>
        </w:rPr>
        <w:t xml:space="preserve">Stosownie do wymagań normy PN-EN 206 przy doborze kruszywa do betonu do wykonania poszczególnych elementów obiektów uwzględnia się: </w:t>
      </w:r>
    </w:p>
    <w:p w14:paraId="6C771EB3"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realizację robót i przeznaczenie betonu, </w:t>
      </w:r>
    </w:p>
    <w:p w14:paraId="5C0DBAE4"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rodzaj, wymiary i technologię wykonania konstrukcji, </w:t>
      </w:r>
    </w:p>
    <w:p w14:paraId="2505CEA2"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warunki wykonania, pielęgnacji i dojrzewania betonu </w:t>
      </w:r>
    </w:p>
    <w:p w14:paraId="016896C5"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agresywność środowiska, na które będzie narażona konstrukcja, </w:t>
      </w:r>
    </w:p>
    <w:p w14:paraId="789D3F57"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wymagania dodatkowe związane z kruszywem, w przypadku powierzchni o specjalnym wykończeniu, np. w przypadku betonu architektonicznego, </w:t>
      </w:r>
    </w:p>
    <w:p w14:paraId="1BE0EF35" w14:textId="77777777" w:rsidR="00CD65F1" w:rsidRPr="00CD65F1" w:rsidRDefault="00CD65F1" w:rsidP="00EB7764">
      <w:pPr>
        <w:pStyle w:val="Akapitzlist"/>
        <w:numPr>
          <w:ilvl w:val="0"/>
          <w:numId w:val="7"/>
        </w:numPr>
        <w:spacing w:after="0"/>
        <w:jc w:val="both"/>
        <w:rPr>
          <w:rFonts w:cs="Calibri"/>
          <w:bCs/>
        </w:rPr>
      </w:pPr>
      <w:r w:rsidRPr="00CD65F1">
        <w:rPr>
          <w:rFonts w:cs="Calibri"/>
          <w:bCs/>
        </w:rPr>
        <w:t xml:space="preserve">projektowaną trwałość konstrukcji. </w:t>
      </w:r>
    </w:p>
    <w:p w14:paraId="7A91911D" w14:textId="4B23D21C" w:rsidR="00CD65F1" w:rsidRPr="00BB2867" w:rsidRDefault="00BB2867" w:rsidP="00CC7BD6">
      <w:pPr>
        <w:pStyle w:val="Akapitzlist"/>
        <w:numPr>
          <w:ilvl w:val="1"/>
          <w:numId w:val="1"/>
        </w:numPr>
        <w:spacing w:after="0"/>
        <w:jc w:val="both"/>
        <w:rPr>
          <w:rFonts w:cs="Calibri"/>
          <w:b/>
          <w:bCs/>
        </w:rPr>
      </w:pPr>
      <w:r w:rsidRPr="00CC7BD6">
        <w:rPr>
          <w:rFonts w:cs="Calibri"/>
          <w:b/>
          <w:bCs/>
        </w:rPr>
        <w:t>Kruszywo grube</w:t>
      </w:r>
    </w:p>
    <w:p w14:paraId="459C6032" w14:textId="77777777" w:rsidR="00BB2867" w:rsidRDefault="00BB2867" w:rsidP="00C37FD7">
      <w:pPr>
        <w:spacing w:after="0"/>
        <w:jc w:val="both"/>
      </w:pPr>
      <w:r>
        <w:t xml:space="preserve">Do betonu klasy C20/25 (B25) i C25/30 (B30) można stosować żwir o maksymalnym wymiarze ziarna do 31,5 mm. Do betonów klas C25/30 (B30) i wyższych należy stosować grysy granitowe lub bazaltowe a także dolomitowe o maksymalnym wymiarze ziarna do 16 mm. Do betonu na pale formowane w gruncie należy stosować żwiry marki 30. Stosowanie grysów z innych skał dopuścić </w:t>
      </w:r>
      <w:r>
        <w:lastRenderedPageBreak/>
        <w:t xml:space="preserve">można pod warunkiem zbadania ich w laboratorium i uzyskania wyników spełniających podane niżej wymagania. </w:t>
      </w:r>
    </w:p>
    <w:p w14:paraId="65CA01D2" w14:textId="1D1EE74E" w:rsidR="00CD65F1" w:rsidRDefault="00BB2867" w:rsidP="00C37FD7">
      <w:pPr>
        <w:spacing w:after="0"/>
        <w:jc w:val="both"/>
      </w:pPr>
      <w:r>
        <w:t>Grysy powinny odpowiadać następującym wymaganiom:</w:t>
      </w:r>
    </w:p>
    <w:p w14:paraId="7D1F12D4"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zawartość pyłów mineralnych do 1%</w:t>
      </w:r>
    </w:p>
    <w:p w14:paraId="2C225B82"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zawartość ziaren nieforemnych (wydłużonych i płaskich) do 20 %,</w:t>
      </w:r>
    </w:p>
    <w:p w14:paraId="770E52D6" w14:textId="22DA350D" w:rsidR="00BB2867" w:rsidRPr="00BB2867" w:rsidRDefault="00BB2867" w:rsidP="00EB7764">
      <w:pPr>
        <w:pStyle w:val="Akapitzlist"/>
        <w:numPr>
          <w:ilvl w:val="0"/>
          <w:numId w:val="8"/>
        </w:numPr>
        <w:spacing w:after="0"/>
        <w:jc w:val="both"/>
        <w:rPr>
          <w:rFonts w:cs="Calibri"/>
          <w:bCs/>
        </w:rPr>
      </w:pPr>
      <w:r w:rsidRPr="00BB2867">
        <w:rPr>
          <w:rFonts w:cs="Calibri"/>
          <w:bCs/>
        </w:rPr>
        <w:t>odporność kruszywa na rozdrabnianie wg PN-EN 1097-2; kategoria nie wyższa niż: LA25 (dopuszcza się stosowania grubego kruszywa o kategorii LA 35 pod warunkiem, że jego mrozoodporność, badana w 1% NaCl jest nie większa niż 2%),</w:t>
      </w:r>
    </w:p>
    <w:p w14:paraId="7B8CCC22"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nasiąkliwość dla kruszywa marki 30 i marki 50 odmiany II - nie większa niż 1,2%,</w:t>
      </w:r>
    </w:p>
    <w:p w14:paraId="63801FDF"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mrozoodporność wg metody bezpośredniej do 2 %,</w:t>
      </w:r>
    </w:p>
    <w:p w14:paraId="4553A107" w14:textId="2831F55D" w:rsidR="00BB2867" w:rsidRPr="00BB2867" w:rsidRDefault="00BB2867" w:rsidP="00EB7764">
      <w:pPr>
        <w:pStyle w:val="Akapitzlist"/>
        <w:numPr>
          <w:ilvl w:val="0"/>
          <w:numId w:val="8"/>
        </w:numPr>
        <w:spacing w:after="0"/>
        <w:jc w:val="both"/>
        <w:rPr>
          <w:rFonts w:cs="Calibri"/>
          <w:bCs/>
        </w:rPr>
      </w:pPr>
      <w:r w:rsidRPr="00BB2867">
        <w:rPr>
          <w:rFonts w:cs="Calibri"/>
          <w:bCs/>
        </w:rPr>
        <w:t>mrozoodporność wg zmodyfikowanej metody bezpośredniej do 10 %,</w:t>
      </w:r>
    </w:p>
    <w:p w14:paraId="34555C6A" w14:textId="1F9EA8C2" w:rsidR="00BB2867" w:rsidRPr="00BB2867" w:rsidRDefault="00BB2867" w:rsidP="00EB7764">
      <w:pPr>
        <w:pStyle w:val="Akapitzlist"/>
        <w:numPr>
          <w:ilvl w:val="0"/>
          <w:numId w:val="8"/>
        </w:numPr>
        <w:spacing w:after="0"/>
        <w:jc w:val="both"/>
        <w:rPr>
          <w:rFonts w:cs="Calibri"/>
          <w:bCs/>
        </w:rPr>
      </w:pPr>
      <w:r w:rsidRPr="00BB2867">
        <w:rPr>
          <w:rFonts w:cs="Calibri"/>
          <w:bCs/>
        </w:rPr>
        <w:t>reaktywność alkaliczna kruszywa, stopień reaktywności kruszywa klasy 0,</w:t>
      </w:r>
    </w:p>
    <w:p w14:paraId="49C7244D"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zawartość związków siarki do 0,1 %,</w:t>
      </w:r>
    </w:p>
    <w:p w14:paraId="77C876FC" w14:textId="77777777" w:rsidR="00BB2867" w:rsidRPr="00BB2867" w:rsidRDefault="00BB2867" w:rsidP="00EB7764">
      <w:pPr>
        <w:pStyle w:val="Akapitzlist"/>
        <w:numPr>
          <w:ilvl w:val="0"/>
          <w:numId w:val="8"/>
        </w:numPr>
        <w:spacing w:after="0"/>
        <w:jc w:val="both"/>
        <w:rPr>
          <w:rFonts w:cs="Calibri"/>
          <w:bCs/>
        </w:rPr>
      </w:pPr>
      <w:r w:rsidRPr="00BB2867">
        <w:rPr>
          <w:rFonts w:cs="Calibri"/>
          <w:bCs/>
        </w:rPr>
        <w:t>zawartość zanieczyszczeń obcych do 0,25 %,</w:t>
      </w:r>
    </w:p>
    <w:p w14:paraId="7E79AE41" w14:textId="608999A8" w:rsidR="00BB2867" w:rsidRPr="00BB2867" w:rsidRDefault="00BB2867" w:rsidP="00EB7764">
      <w:pPr>
        <w:pStyle w:val="Akapitzlist"/>
        <w:numPr>
          <w:ilvl w:val="0"/>
          <w:numId w:val="8"/>
        </w:numPr>
        <w:spacing w:after="0"/>
        <w:jc w:val="both"/>
        <w:rPr>
          <w:rFonts w:cs="Calibri"/>
          <w:bCs/>
        </w:rPr>
      </w:pPr>
      <w:r w:rsidRPr="00BB2867">
        <w:rPr>
          <w:rFonts w:cs="Calibri"/>
          <w:bCs/>
        </w:rPr>
        <w:t>zawartość zanieczyszczeń organicznych nie dająca barwy ciemniejszej od wzorcowej.</w:t>
      </w:r>
    </w:p>
    <w:p w14:paraId="5E7556B7" w14:textId="5AD0DB49" w:rsidR="00CD65F1" w:rsidRDefault="00BB2867" w:rsidP="00C37FD7">
      <w:pPr>
        <w:spacing w:after="0"/>
        <w:jc w:val="both"/>
        <w:rPr>
          <w:rFonts w:cs="Calibri"/>
          <w:bCs/>
        </w:rPr>
      </w:pPr>
      <w:r>
        <w:t>Żwiry powinny odpowiadać następującym wymaganiom:</w:t>
      </w:r>
    </w:p>
    <w:p w14:paraId="76429505" w14:textId="77777777" w:rsidR="00BB2867" w:rsidRPr="00BB2867" w:rsidRDefault="00BB2867" w:rsidP="00EB7764">
      <w:pPr>
        <w:pStyle w:val="Akapitzlist"/>
        <w:numPr>
          <w:ilvl w:val="0"/>
          <w:numId w:val="9"/>
        </w:numPr>
        <w:spacing w:after="0"/>
        <w:jc w:val="both"/>
        <w:rPr>
          <w:rFonts w:cs="Calibri"/>
          <w:bCs/>
        </w:rPr>
      </w:pPr>
      <w:r w:rsidRPr="00BB2867">
        <w:rPr>
          <w:rFonts w:cs="Calibri"/>
          <w:bCs/>
        </w:rPr>
        <w:t>zawartość pyłów mineralnych do 1.5%</w:t>
      </w:r>
    </w:p>
    <w:p w14:paraId="735BE091" w14:textId="77777777" w:rsidR="00BB2867" w:rsidRPr="00BB2867" w:rsidRDefault="00BB2867" w:rsidP="00EB7764">
      <w:pPr>
        <w:pStyle w:val="Akapitzlist"/>
        <w:numPr>
          <w:ilvl w:val="0"/>
          <w:numId w:val="9"/>
        </w:numPr>
        <w:spacing w:after="0"/>
        <w:jc w:val="both"/>
        <w:rPr>
          <w:rFonts w:cs="Calibri"/>
          <w:bCs/>
        </w:rPr>
      </w:pPr>
      <w:r w:rsidRPr="00BB2867">
        <w:rPr>
          <w:rFonts w:cs="Calibri"/>
          <w:bCs/>
        </w:rPr>
        <w:t>zawartość ziaren nieforemnych (wydłużonych i płaskich) do 20 %,</w:t>
      </w:r>
    </w:p>
    <w:p w14:paraId="26C30F57" w14:textId="77777777" w:rsidR="00BB2867" w:rsidRPr="00BB2867" w:rsidRDefault="00BB2867" w:rsidP="00EB7764">
      <w:pPr>
        <w:pStyle w:val="Akapitzlist"/>
        <w:numPr>
          <w:ilvl w:val="0"/>
          <w:numId w:val="9"/>
        </w:numPr>
        <w:spacing w:after="0"/>
        <w:jc w:val="both"/>
        <w:rPr>
          <w:rFonts w:cs="Calibri"/>
          <w:bCs/>
        </w:rPr>
      </w:pPr>
      <w:r w:rsidRPr="00BB2867">
        <w:rPr>
          <w:rFonts w:cs="Calibri"/>
          <w:bCs/>
        </w:rPr>
        <w:t>wskaźnik rozkruszenia do 12 %:</w:t>
      </w:r>
    </w:p>
    <w:p w14:paraId="24304F67" w14:textId="77777777" w:rsidR="00BB2867" w:rsidRPr="00BB2867" w:rsidRDefault="00BB2867" w:rsidP="00EB7764">
      <w:pPr>
        <w:pStyle w:val="Akapitzlist"/>
        <w:numPr>
          <w:ilvl w:val="0"/>
          <w:numId w:val="9"/>
        </w:numPr>
        <w:spacing w:after="0"/>
        <w:jc w:val="both"/>
        <w:rPr>
          <w:rFonts w:cs="Calibri"/>
          <w:bCs/>
        </w:rPr>
      </w:pPr>
      <w:r w:rsidRPr="00BB2867">
        <w:rPr>
          <w:rFonts w:cs="Calibri"/>
          <w:bCs/>
        </w:rPr>
        <w:t>nasiąkliwość do 1.5 %</w:t>
      </w:r>
    </w:p>
    <w:p w14:paraId="6C62F13D" w14:textId="77777777" w:rsidR="00BB2867" w:rsidRPr="00BB2867" w:rsidRDefault="00BB2867" w:rsidP="00EB7764">
      <w:pPr>
        <w:pStyle w:val="Akapitzlist"/>
        <w:numPr>
          <w:ilvl w:val="0"/>
          <w:numId w:val="9"/>
        </w:numPr>
        <w:spacing w:after="0"/>
        <w:jc w:val="both"/>
        <w:rPr>
          <w:rFonts w:cs="Calibri"/>
          <w:bCs/>
        </w:rPr>
      </w:pPr>
      <w:r w:rsidRPr="00BB2867">
        <w:rPr>
          <w:rFonts w:cs="Calibri"/>
          <w:bCs/>
        </w:rPr>
        <w:t>mrozoodporność wg metody bezpośredniej do 5 %,</w:t>
      </w:r>
    </w:p>
    <w:p w14:paraId="6A5AD153" w14:textId="4D6FC53C" w:rsidR="00CD65F1" w:rsidRPr="00BB2867" w:rsidRDefault="00BB2867" w:rsidP="00EB7764">
      <w:pPr>
        <w:pStyle w:val="Akapitzlist"/>
        <w:numPr>
          <w:ilvl w:val="0"/>
          <w:numId w:val="9"/>
        </w:numPr>
        <w:spacing w:after="0"/>
        <w:jc w:val="both"/>
        <w:rPr>
          <w:rFonts w:cs="Calibri"/>
          <w:bCs/>
        </w:rPr>
      </w:pPr>
      <w:r w:rsidRPr="00BB2867">
        <w:rPr>
          <w:rFonts w:cs="Calibri"/>
          <w:bCs/>
        </w:rPr>
        <w:t>mrozoodporność wg zmodyfikowanej metody bezpośredniej do 10 %,</w:t>
      </w:r>
    </w:p>
    <w:p w14:paraId="3656E072" w14:textId="5F370C66" w:rsidR="00CD65F1" w:rsidRDefault="00BB2867" w:rsidP="00C37FD7">
      <w:pPr>
        <w:spacing w:after="0"/>
        <w:jc w:val="both"/>
        <w:rPr>
          <w:rFonts w:cs="Calibri"/>
          <w:bCs/>
        </w:rPr>
      </w:pPr>
      <w:r>
        <w:t>W kruszywie grubym, tj. w grysach i żwirach nie dopuszcza się grudek gliny. Kruszywa pochodzące z każdej dostawy muszą być poddane badaniom niepełnym obejmującym:</w:t>
      </w:r>
    </w:p>
    <w:p w14:paraId="14E632A2" w14:textId="0C290117" w:rsidR="00BB2867" w:rsidRPr="00BB2867" w:rsidRDefault="00BB2867" w:rsidP="00EB7764">
      <w:pPr>
        <w:pStyle w:val="Akapitzlist"/>
        <w:numPr>
          <w:ilvl w:val="0"/>
          <w:numId w:val="10"/>
        </w:numPr>
        <w:spacing w:after="0"/>
        <w:jc w:val="both"/>
        <w:rPr>
          <w:rFonts w:cs="Calibri"/>
          <w:bCs/>
        </w:rPr>
      </w:pPr>
      <w:r w:rsidRPr="00BB2867">
        <w:rPr>
          <w:rFonts w:cs="Calibri"/>
          <w:bCs/>
        </w:rPr>
        <w:t xml:space="preserve">oznaczenie składu ziarnowego </w:t>
      </w:r>
    </w:p>
    <w:p w14:paraId="5E3134BC" w14:textId="1C1B8349" w:rsidR="00BB2867" w:rsidRPr="00BB2867" w:rsidRDefault="00BB2867" w:rsidP="00EB7764">
      <w:pPr>
        <w:pStyle w:val="Akapitzlist"/>
        <w:numPr>
          <w:ilvl w:val="0"/>
          <w:numId w:val="10"/>
        </w:numPr>
        <w:spacing w:after="0"/>
        <w:jc w:val="both"/>
        <w:rPr>
          <w:rFonts w:cs="Calibri"/>
          <w:bCs/>
        </w:rPr>
      </w:pPr>
      <w:r w:rsidRPr="00BB2867">
        <w:rPr>
          <w:rFonts w:cs="Calibri"/>
          <w:bCs/>
        </w:rPr>
        <w:t xml:space="preserve">oznaczenie zawartości ziaren nieforemnych </w:t>
      </w:r>
    </w:p>
    <w:p w14:paraId="20C0FFDE" w14:textId="66883646" w:rsidR="00BB2867" w:rsidRPr="00BB2867" w:rsidRDefault="00BB2867" w:rsidP="00EB7764">
      <w:pPr>
        <w:pStyle w:val="Akapitzlist"/>
        <w:numPr>
          <w:ilvl w:val="0"/>
          <w:numId w:val="10"/>
        </w:numPr>
        <w:spacing w:after="0"/>
        <w:jc w:val="both"/>
        <w:rPr>
          <w:rFonts w:cs="Calibri"/>
          <w:bCs/>
        </w:rPr>
      </w:pPr>
      <w:r w:rsidRPr="00BB2867">
        <w:rPr>
          <w:rFonts w:cs="Calibri"/>
          <w:bCs/>
        </w:rPr>
        <w:t xml:space="preserve">oznaczenie zawartości pyłów mineralnych </w:t>
      </w:r>
    </w:p>
    <w:p w14:paraId="2724ACE2" w14:textId="12970276" w:rsidR="00BB2867" w:rsidRPr="00BB2867" w:rsidRDefault="00BB2867" w:rsidP="00EB7764">
      <w:pPr>
        <w:pStyle w:val="Akapitzlist"/>
        <w:numPr>
          <w:ilvl w:val="0"/>
          <w:numId w:val="10"/>
        </w:numPr>
        <w:spacing w:after="0"/>
        <w:jc w:val="both"/>
        <w:rPr>
          <w:rFonts w:cs="Calibri"/>
          <w:bCs/>
        </w:rPr>
      </w:pPr>
      <w:r w:rsidRPr="00BB2867">
        <w:rPr>
          <w:rFonts w:cs="Calibri"/>
          <w:bCs/>
        </w:rPr>
        <w:t xml:space="preserve">oznaczenie zawartości zanieczyszczeń obcych </w:t>
      </w:r>
    </w:p>
    <w:p w14:paraId="556D921E" w14:textId="45092DA6" w:rsidR="00CD65F1" w:rsidRPr="00BB2867" w:rsidRDefault="00BB2867" w:rsidP="00EB7764">
      <w:pPr>
        <w:pStyle w:val="Akapitzlist"/>
        <w:numPr>
          <w:ilvl w:val="0"/>
          <w:numId w:val="10"/>
        </w:numPr>
        <w:spacing w:after="0"/>
        <w:jc w:val="both"/>
        <w:rPr>
          <w:rFonts w:cs="Calibri"/>
          <w:bCs/>
        </w:rPr>
      </w:pPr>
      <w:r w:rsidRPr="00BB2867">
        <w:rPr>
          <w:rFonts w:cs="Calibri"/>
          <w:bCs/>
        </w:rPr>
        <w:t>oznaczenie zawartości grudek gliny (oznaczać jak zawartość zanieczyszczeń obcych).</w:t>
      </w:r>
    </w:p>
    <w:p w14:paraId="6C90B937" w14:textId="7EF581DA" w:rsidR="00CD65F1" w:rsidRDefault="00BB2867" w:rsidP="00C37FD7">
      <w:pPr>
        <w:spacing w:after="0"/>
        <w:jc w:val="both"/>
      </w:pPr>
      <w:r>
        <w:t>Należy zobowiązać dostawcę do przekazywania dla każdej partii kruszywa wyników badań jw. a raz w roku wykonać badanie pełne oraz badanie specjalne dotyczące reaktywności alkalicznej i zawartości związków siarki.</w:t>
      </w:r>
    </w:p>
    <w:p w14:paraId="2B837EA9" w14:textId="68F0C7EC" w:rsidR="00BB2867" w:rsidRPr="00BB2867" w:rsidRDefault="00BB2867" w:rsidP="00CC7BD6">
      <w:pPr>
        <w:pStyle w:val="Akapitzlist"/>
        <w:numPr>
          <w:ilvl w:val="1"/>
          <w:numId w:val="1"/>
        </w:numPr>
        <w:spacing w:after="0"/>
        <w:jc w:val="both"/>
        <w:rPr>
          <w:rFonts w:cs="Calibri"/>
          <w:b/>
          <w:bCs/>
        </w:rPr>
      </w:pPr>
      <w:r w:rsidRPr="00CC7BD6">
        <w:rPr>
          <w:rFonts w:cs="Calibri"/>
          <w:b/>
          <w:bCs/>
        </w:rPr>
        <w:t>Kruszywo drobne</w:t>
      </w:r>
    </w:p>
    <w:p w14:paraId="2AF527B2" w14:textId="77777777" w:rsidR="00743365" w:rsidRPr="00743365" w:rsidRDefault="00743365" w:rsidP="00743365">
      <w:pPr>
        <w:spacing w:after="0"/>
        <w:jc w:val="both"/>
        <w:rPr>
          <w:rFonts w:cs="Calibri"/>
          <w:bCs/>
        </w:rPr>
      </w:pPr>
      <w:r w:rsidRPr="00743365">
        <w:rPr>
          <w:rFonts w:cs="Calibri"/>
          <w:bCs/>
        </w:rPr>
        <w:t>Kruszywem drobnym powinny być piaski o uziarnieniu do 2 mm</w:t>
      </w:r>
    </w:p>
    <w:p w14:paraId="315EBB7D" w14:textId="1A00B387" w:rsidR="00CD65F1" w:rsidRDefault="00743365" w:rsidP="00743365">
      <w:pPr>
        <w:spacing w:after="0"/>
        <w:jc w:val="both"/>
        <w:rPr>
          <w:rFonts w:cs="Calibri"/>
          <w:bCs/>
        </w:rPr>
      </w:pPr>
      <w:r w:rsidRPr="00743365">
        <w:rPr>
          <w:rFonts w:cs="Calibri"/>
          <w:bCs/>
        </w:rPr>
        <w:t>Piasek powinien spełniać następujące wymagania:</w:t>
      </w:r>
    </w:p>
    <w:p w14:paraId="04AC5ECA" w14:textId="77777777" w:rsidR="00743365" w:rsidRPr="00743365" w:rsidRDefault="00743365" w:rsidP="00EB7764">
      <w:pPr>
        <w:pStyle w:val="Akapitzlist"/>
        <w:numPr>
          <w:ilvl w:val="0"/>
          <w:numId w:val="11"/>
        </w:numPr>
        <w:spacing w:after="0"/>
        <w:jc w:val="both"/>
        <w:rPr>
          <w:rFonts w:cs="Calibri"/>
          <w:bCs/>
        </w:rPr>
      </w:pPr>
      <w:r w:rsidRPr="00743365">
        <w:rPr>
          <w:rFonts w:cs="Calibri"/>
          <w:bCs/>
        </w:rPr>
        <w:t>zawartość pyłów mineralnych do 1,5 %</w:t>
      </w:r>
    </w:p>
    <w:p w14:paraId="63BD1292" w14:textId="059C97C4" w:rsidR="00743365" w:rsidRPr="00743365" w:rsidRDefault="00743365" w:rsidP="00EB7764">
      <w:pPr>
        <w:pStyle w:val="Akapitzlist"/>
        <w:numPr>
          <w:ilvl w:val="0"/>
          <w:numId w:val="11"/>
        </w:numPr>
        <w:spacing w:after="0"/>
        <w:jc w:val="both"/>
        <w:rPr>
          <w:rFonts w:cs="Calibri"/>
          <w:bCs/>
        </w:rPr>
      </w:pPr>
      <w:r w:rsidRPr="00743365">
        <w:rPr>
          <w:rFonts w:cs="Calibri"/>
          <w:bCs/>
        </w:rPr>
        <w:t>reaktywność alkaliczna kruszywa, stopień reaktywności kruszywa klasy 0</w:t>
      </w:r>
    </w:p>
    <w:p w14:paraId="677E44CD" w14:textId="77777777" w:rsidR="00743365" w:rsidRPr="00743365" w:rsidRDefault="00743365" w:rsidP="00EB7764">
      <w:pPr>
        <w:pStyle w:val="Akapitzlist"/>
        <w:numPr>
          <w:ilvl w:val="0"/>
          <w:numId w:val="11"/>
        </w:numPr>
        <w:spacing w:after="0"/>
        <w:jc w:val="both"/>
        <w:rPr>
          <w:rFonts w:cs="Calibri"/>
          <w:bCs/>
        </w:rPr>
      </w:pPr>
      <w:r w:rsidRPr="00743365">
        <w:rPr>
          <w:rFonts w:cs="Calibri"/>
          <w:bCs/>
        </w:rPr>
        <w:t>zawartość związków siarki do 0,2 %,</w:t>
      </w:r>
    </w:p>
    <w:p w14:paraId="72225D89" w14:textId="77777777" w:rsidR="00743365" w:rsidRPr="00743365" w:rsidRDefault="00743365" w:rsidP="00EB7764">
      <w:pPr>
        <w:pStyle w:val="Akapitzlist"/>
        <w:numPr>
          <w:ilvl w:val="0"/>
          <w:numId w:val="11"/>
        </w:numPr>
        <w:spacing w:after="0"/>
        <w:jc w:val="both"/>
        <w:rPr>
          <w:rFonts w:cs="Calibri"/>
          <w:bCs/>
        </w:rPr>
      </w:pPr>
      <w:r w:rsidRPr="00743365">
        <w:rPr>
          <w:rFonts w:cs="Calibri"/>
          <w:bCs/>
        </w:rPr>
        <w:t>zawartość zanieczyszczeń obcych do 0,25 %,</w:t>
      </w:r>
    </w:p>
    <w:p w14:paraId="5A042C20" w14:textId="2B6B54A5" w:rsidR="00CD65F1" w:rsidRPr="00743365" w:rsidRDefault="00743365" w:rsidP="00EB7764">
      <w:pPr>
        <w:pStyle w:val="Akapitzlist"/>
        <w:numPr>
          <w:ilvl w:val="0"/>
          <w:numId w:val="11"/>
        </w:numPr>
        <w:spacing w:after="0"/>
        <w:jc w:val="both"/>
        <w:rPr>
          <w:rFonts w:cs="Calibri"/>
          <w:bCs/>
        </w:rPr>
      </w:pPr>
      <w:r w:rsidRPr="00743365">
        <w:rPr>
          <w:rFonts w:cs="Calibri"/>
          <w:bCs/>
        </w:rPr>
        <w:t>zawartość zanieczyszczeń organicznych nie dająca barwy ciemniejszej od wzorcowej.</w:t>
      </w:r>
    </w:p>
    <w:p w14:paraId="25EA76D8" w14:textId="58ADB0C5" w:rsidR="00CD65F1" w:rsidRDefault="00743365" w:rsidP="00C37FD7">
      <w:pPr>
        <w:spacing w:after="0"/>
        <w:jc w:val="both"/>
        <w:rPr>
          <w:rFonts w:cs="Calibri"/>
          <w:bCs/>
        </w:rPr>
      </w:pPr>
      <w:r>
        <w:t>W kruszywie drobnym nie dopuszcza się grudek gliny. Piasek pochodzący z każdej dostawy musi być poddany badaniom niepełnym obejmującym:</w:t>
      </w:r>
    </w:p>
    <w:p w14:paraId="334F50A0" w14:textId="4C439DEF" w:rsidR="00743365" w:rsidRPr="00743365" w:rsidRDefault="00743365" w:rsidP="00EB7764">
      <w:pPr>
        <w:pStyle w:val="Akapitzlist"/>
        <w:numPr>
          <w:ilvl w:val="0"/>
          <w:numId w:val="12"/>
        </w:numPr>
        <w:spacing w:after="0"/>
        <w:jc w:val="both"/>
        <w:rPr>
          <w:rFonts w:cs="Calibri"/>
          <w:bCs/>
        </w:rPr>
      </w:pPr>
      <w:r w:rsidRPr="00743365">
        <w:rPr>
          <w:rFonts w:cs="Calibri"/>
          <w:bCs/>
        </w:rPr>
        <w:t>oznaczenie składu ziarnowego,</w:t>
      </w:r>
    </w:p>
    <w:p w14:paraId="04D4E4CB" w14:textId="590EA919" w:rsidR="00743365" w:rsidRPr="00743365" w:rsidRDefault="00743365" w:rsidP="00EB7764">
      <w:pPr>
        <w:pStyle w:val="Akapitzlist"/>
        <w:numPr>
          <w:ilvl w:val="0"/>
          <w:numId w:val="12"/>
        </w:numPr>
        <w:spacing w:after="0"/>
        <w:jc w:val="both"/>
        <w:rPr>
          <w:rFonts w:cs="Calibri"/>
          <w:bCs/>
        </w:rPr>
      </w:pPr>
      <w:r w:rsidRPr="00743365">
        <w:rPr>
          <w:rFonts w:cs="Calibri"/>
          <w:bCs/>
        </w:rPr>
        <w:t>oznaczenie zawartości pyłów mineralnych,</w:t>
      </w:r>
    </w:p>
    <w:p w14:paraId="7659EAFA" w14:textId="227A04AB" w:rsidR="00743365" w:rsidRPr="00743365" w:rsidRDefault="00743365" w:rsidP="00EB7764">
      <w:pPr>
        <w:pStyle w:val="Akapitzlist"/>
        <w:numPr>
          <w:ilvl w:val="0"/>
          <w:numId w:val="12"/>
        </w:numPr>
        <w:spacing w:after="0"/>
        <w:jc w:val="both"/>
        <w:rPr>
          <w:rFonts w:cs="Calibri"/>
          <w:bCs/>
        </w:rPr>
      </w:pPr>
      <w:r w:rsidRPr="00743365">
        <w:rPr>
          <w:rFonts w:cs="Calibri"/>
          <w:bCs/>
        </w:rPr>
        <w:lastRenderedPageBreak/>
        <w:t xml:space="preserve">oznaczenie zawartości zanieczyszczeń obcych </w:t>
      </w:r>
    </w:p>
    <w:p w14:paraId="1419DF47" w14:textId="7298719A" w:rsidR="00CD65F1" w:rsidRPr="00743365" w:rsidRDefault="00743365" w:rsidP="00EB7764">
      <w:pPr>
        <w:pStyle w:val="Akapitzlist"/>
        <w:numPr>
          <w:ilvl w:val="0"/>
          <w:numId w:val="12"/>
        </w:numPr>
        <w:spacing w:after="0"/>
        <w:jc w:val="both"/>
        <w:rPr>
          <w:rFonts w:cs="Calibri"/>
          <w:bCs/>
        </w:rPr>
      </w:pPr>
      <w:r w:rsidRPr="00743365">
        <w:rPr>
          <w:rFonts w:cs="Calibri"/>
          <w:bCs/>
        </w:rPr>
        <w:t>oznaczenie zawartości grudek gliny (oznaczać jak zawartość zanieczyszczeń obcych).</w:t>
      </w:r>
    </w:p>
    <w:p w14:paraId="2DE489ED" w14:textId="78D0B7D8" w:rsidR="00CD65F1" w:rsidRDefault="00743365" w:rsidP="00C37FD7">
      <w:pPr>
        <w:spacing w:after="0"/>
        <w:jc w:val="both"/>
        <w:rPr>
          <w:rFonts w:cs="Calibri"/>
          <w:bCs/>
        </w:rPr>
      </w:pPr>
      <w:r>
        <w:t>Należy zobowiązać dostawcę do przekazywania dla każdej partii kruszywa wyników badań jw. a raz w roku wykonać badanie pełne oraz badanie specjalne dotyczące reaktywności alkalicznej i zawartości związków siarki.</w:t>
      </w:r>
    </w:p>
    <w:p w14:paraId="2247A14F" w14:textId="293A4EDC" w:rsidR="00CD65F1" w:rsidRPr="00743365" w:rsidRDefault="00743365" w:rsidP="00CC7BD6">
      <w:pPr>
        <w:pStyle w:val="Akapitzlist"/>
        <w:numPr>
          <w:ilvl w:val="1"/>
          <w:numId w:val="1"/>
        </w:numPr>
        <w:spacing w:after="0"/>
        <w:jc w:val="both"/>
        <w:rPr>
          <w:rFonts w:cs="Calibri"/>
          <w:b/>
          <w:bCs/>
        </w:rPr>
      </w:pPr>
      <w:r w:rsidRPr="00CC7BD6">
        <w:rPr>
          <w:rFonts w:cs="Calibri"/>
          <w:b/>
          <w:bCs/>
        </w:rPr>
        <w:t>Uziarnienie kruszywa</w:t>
      </w:r>
    </w:p>
    <w:p w14:paraId="44B0EFFF" w14:textId="60876D5B" w:rsidR="00743365" w:rsidRDefault="00743365" w:rsidP="00C37FD7">
      <w:pPr>
        <w:spacing w:after="0"/>
        <w:jc w:val="both"/>
      </w:pPr>
      <w:r>
        <w:t>Mieszanki kruszywa drobnego i grubego wymieszane w odpowiednich proporcjach powinny utworzyć stałą kompozycję granulometryczną, która pozwoli na uzyskanie wymaganych właściwości zarówno świeżego betonu (konsystencja, jednorodność, urabialność, zawartość powietrza) jak i stwardniałego (wytrzymałość, przepuszczalność, moduł sprężystości, skurcz). Krzywa granulometryczna powinna zapewnić uzyskanie maksymalnej szczelności betonu przy minimalnym zużyciu cementu i wody. Szczególną uwagę należy zwrócić na uziarnienie piasku w celu zredukowania do minimum wydzielania mleczka cementowego. Kruszywo powinno składać się z co najmniej 3 frakcji; dla frakcji najdrobniejszej pozostałość na sicie o boku oczka 4 mm nie może być większa niż 5 %. Poszczególne frakcje nie mogą zawierać uziarnienia przynależnego do frakcji niższej w ilości przewyższającej 5 % i uziarnienia przynależnego do frakcji wyższej w ilości przekraczającej 10 % całego składu frakcji. Dla betonów klasy C30/37 (B35) i wyższych uziarnienie kruszywa należy ustalać doświadczalnie podczas projektowania składu mieszanki betonowej. Dla betonów klasy C20/25 (B25) i C25/30 (B30) należy stosować kruszywo o łącznym uziarnieniu mieszczącym się w granicach podanych na wykresach i według Tabeli 1 podanej poniżej.</w:t>
      </w:r>
    </w:p>
    <w:p w14:paraId="467B294E" w14:textId="77777777" w:rsidR="00743365" w:rsidRDefault="00743365" w:rsidP="00C37FD7">
      <w:pPr>
        <w:spacing w:after="0"/>
        <w:jc w:val="both"/>
      </w:pPr>
    </w:p>
    <w:p w14:paraId="436AAD08" w14:textId="2954E691" w:rsidR="00743365" w:rsidRDefault="00743365" w:rsidP="00C37FD7">
      <w:pPr>
        <w:spacing w:after="0"/>
        <w:jc w:val="both"/>
        <w:rPr>
          <w:rFonts w:cs="Calibri"/>
          <w:bCs/>
        </w:rPr>
      </w:pPr>
      <w:r w:rsidRPr="00743365">
        <w:rPr>
          <w:rFonts w:cs="Calibri"/>
          <w:bCs/>
          <w:noProof/>
        </w:rPr>
        <w:drawing>
          <wp:inline distT="0" distB="0" distL="0" distR="0" wp14:anchorId="5917FEF7" wp14:editId="4EF678DC">
            <wp:extent cx="5760720" cy="21926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192655"/>
                    </a:xfrm>
                    <a:prstGeom prst="rect">
                      <a:avLst/>
                    </a:prstGeom>
                    <a:noFill/>
                    <a:ln>
                      <a:noFill/>
                    </a:ln>
                  </pic:spPr>
                </pic:pic>
              </a:graphicData>
            </a:graphic>
          </wp:inline>
        </w:drawing>
      </w:r>
    </w:p>
    <w:p w14:paraId="7230E811" w14:textId="5943C41E" w:rsidR="00743365" w:rsidRDefault="00743365" w:rsidP="00C37FD7">
      <w:pPr>
        <w:spacing w:after="0"/>
        <w:jc w:val="both"/>
        <w:rPr>
          <w:rFonts w:cs="Calibri"/>
          <w:bCs/>
        </w:rPr>
      </w:pPr>
    </w:p>
    <w:p w14:paraId="17C79B20" w14:textId="5F96E780" w:rsidR="00743365" w:rsidRDefault="00743365" w:rsidP="00C37FD7">
      <w:pPr>
        <w:spacing w:after="0"/>
        <w:jc w:val="both"/>
        <w:rPr>
          <w:rFonts w:cs="Calibri"/>
          <w:bCs/>
        </w:rPr>
      </w:pPr>
    </w:p>
    <w:p w14:paraId="3B3C0147" w14:textId="298064EB" w:rsidR="00743365" w:rsidRDefault="00743365" w:rsidP="00C37FD7">
      <w:pPr>
        <w:spacing w:after="0"/>
        <w:jc w:val="both"/>
        <w:rPr>
          <w:rFonts w:cs="Calibri"/>
          <w:bCs/>
        </w:rPr>
      </w:pPr>
      <w:r w:rsidRPr="00743365">
        <w:rPr>
          <w:rFonts w:cs="Calibri"/>
          <w:bCs/>
          <w:noProof/>
        </w:rPr>
        <w:lastRenderedPageBreak/>
        <w:drawing>
          <wp:inline distT="0" distB="0" distL="0" distR="0" wp14:anchorId="251A9E1E" wp14:editId="5B457169">
            <wp:extent cx="5760720" cy="2872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872105"/>
                    </a:xfrm>
                    <a:prstGeom prst="rect">
                      <a:avLst/>
                    </a:prstGeom>
                    <a:noFill/>
                    <a:ln>
                      <a:noFill/>
                    </a:ln>
                  </pic:spPr>
                </pic:pic>
              </a:graphicData>
            </a:graphic>
          </wp:inline>
        </w:drawing>
      </w:r>
    </w:p>
    <w:p w14:paraId="7A9FC6D8" w14:textId="121CAC21" w:rsidR="00743365" w:rsidRDefault="00743365" w:rsidP="00C37FD7">
      <w:pPr>
        <w:spacing w:after="0"/>
        <w:jc w:val="both"/>
        <w:rPr>
          <w:rFonts w:cs="Calibri"/>
          <w:bCs/>
        </w:rPr>
      </w:pPr>
    </w:p>
    <w:p w14:paraId="71041F70" w14:textId="1F2EA391" w:rsidR="00743365" w:rsidRDefault="00AD0DD9" w:rsidP="00C37FD7">
      <w:pPr>
        <w:spacing w:after="0"/>
        <w:jc w:val="both"/>
        <w:rPr>
          <w:rFonts w:cs="Calibri"/>
          <w:bCs/>
        </w:rPr>
      </w:pPr>
      <w:r w:rsidRPr="00AD0DD9">
        <w:rPr>
          <w:rFonts w:cs="Calibri"/>
          <w:bCs/>
          <w:noProof/>
        </w:rPr>
        <w:drawing>
          <wp:inline distT="0" distB="0" distL="0" distR="0" wp14:anchorId="08B37C48" wp14:editId="7E81D289">
            <wp:extent cx="5760720" cy="267144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671445"/>
                    </a:xfrm>
                    <a:prstGeom prst="rect">
                      <a:avLst/>
                    </a:prstGeom>
                    <a:noFill/>
                    <a:ln>
                      <a:noFill/>
                    </a:ln>
                  </pic:spPr>
                </pic:pic>
              </a:graphicData>
            </a:graphic>
          </wp:inline>
        </w:drawing>
      </w:r>
    </w:p>
    <w:p w14:paraId="2A6A7483" w14:textId="5576D1E5" w:rsidR="00743365" w:rsidRDefault="00743365" w:rsidP="00C37FD7">
      <w:pPr>
        <w:spacing w:after="0"/>
        <w:jc w:val="both"/>
        <w:rPr>
          <w:rFonts w:cs="Calibri"/>
          <w:bCs/>
        </w:rPr>
      </w:pPr>
    </w:p>
    <w:p w14:paraId="4A5F2F68" w14:textId="6B05610A" w:rsidR="00AD0DD9" w:rsidRPr="00AD0DD9" w:rsidRDefault="00AD0DD9" w:rsidP="00C37FD7">
      <w:pPr>
        <w:spacing w:after="0"/>
        <w:jc w:val="both"/>
        <w:rPr>
          <w:rFonts w:cs="Calibri"/>
          <w:bCs/>
        </w:rPr>
      </w:pPr>
      <w:r w:rsidRPr="00AD0DD9">
        <w:t>Maksymalny wymiar ziaren kruszywa powinien pozwalać na wypełnienie mieszanką każdej części konstrukcji przy uwzględnieniu urabialności mieszanki, ilości zbrojenia i grubości otuliny.</w:t>
      </w:r>
    </w:p>
    <w:p w14:paraId="3437EC41" w14:textId="3556FDC7" w:rsidR="00743365" w:rsidRPr="00CC7BD6" w:rsidRDefault="00AD0DD9" w:rsidP="00CC7BD6">
      <w:pPr>
        <w:pStyle w:val="Akapitzlist"/>
        <w:numPr>
          <w:ilvl w:val="1"/>
          <w:numId w:val="1"/>
        </w:numPr>
        <w:spacing w:after="0"/>
        <w:jc w:val="both"/>
        <w:rPr>
          <w:rFonts w:cs="Calibri"/>
          <w:b/>
          <w:bCs/>
        </w:rPr>
      </w:pPr>
      <w:r w:rsidRPr="00CC7BD6">
        <w:rPr>
          <w:rFonts w:cs="Calibri"/>
          <w:b/>
          <w:bCs/>
        </w:rPr>
        <w:t>Woda zarobowa</w:t>
      </w:r>
    </w:p>
    <w:p w14:paraId="5D11E3E3" w14:textId="3304A97A" w:rsidR="00AD0DD9" w:rsidRPr="00AD0DD9" w:rsidRDefault="00AD0DD9" w:rsidP="00AD0DD9">
      <w:pPr>
        <w:spacing w:after="0"/>
        <w:jc w:val="both"/>
        <w:rPr>
          <w:rFonts w:cs="Calibri"/>
          <w:bCs/>
        </w:rPr>
      </w:pPr>
      <w:r w:rsidRPr="00AD0DD9">
        <w:rPr>
          <w:rFonts w:cs="Calibri"/>
          <w:bCs/>
        </w:rPr>
        <w:t xml:space="preserve">Woda zarobowa do betonu powinna spełniać wszystkie wymagania </w:t>
      </w:r>
      <w:r>
        <w:t xml:space="preserve">PN-B 06265 i PN-EN 206-1. </w:t>
      </w:r>
      <w:r w:rsidRPr="00AD0DD9">
        <w:rPr>
          <w:rFonts w:cs="Calibri"/>
          <w:bCs/>
        </w:rPr>
        <w:t xml:space="preserve"> Powinna pochodzić ze źródeł nie budzących</w:t>
      </w:r>
      <w:r>
        <w:rPr>
          <w:rFonts w:cs="Calibri"/>
          <w:bCs/>
        </w:rPr>
        <w:t xml:space="preserve"> </w:t>
      </w:r>
      <w:r w:rsidRPr="00AD0DD9">
        <w:rPr>
          <w:rFonts w:cs="Calibri"/>
          <w:bCs/>
        </w:rPr>
        <w:t>żadnych wątpliwości lub dobrze zbadanych.</w:t>
      </w:r>
    </w:p>
    <w:p w14:paraId="2089E8A6" w14:textId="17631D5A" w:rsidR="00AD0DD9" w:rsidRPr="00AD0DD9" w:rsidRDefault="00AD0DD9" w:rsidP="00AD0DD9">
      <w:pPr>
        <w:spacing w:after="0"/>
        <w:jc w:val="both"/>
        <w:rPr>
          <w:rFonts w:cs="Calibri"/>
          <w:bCs/>
        </w:rPr>
      </w:pPr>
      <w:r w:rsidRPr="00AD0DD9">
        <w:rPr>
          <w:rFonts w:cs="Calibri"/>
          <w:bCs/>
        </w:rPr>
        <w:t>Woda powinna być dodawana w możliwie najmniejszych ilościach w stosunku do założonej wytrzymałości i stopnia</w:t>
      </w:r>
      <w:r>
        <w:rPr>
          <w:rFonts w:cs="Calibri"/>
          <w:bCs/>
        </w:rPr>
        <w:t xml:space="preserve"> </w:t>
      </w:r>
      <w:r w:rsidRPr="00AD0DD9">
        <w:rPr>
          <w:rFonts w:cs="Calibri"/>
          <w:bCs/>
        </w:rPr>
        <w:t>urabialności mieszanki betonowej, biorąc pod uwagę również ilości wody zawarte w kruszywie, w sposób pozwalający na</w:t>
      </w:r>
      <w:r>
        <w:rPr>
          <w:rFonts w:cs="Calibri"/>
          <w:bCs/>
        </w:rPr>
        <w:t xml:space="preserve"> </w:t>
      </w:r>
      <w:r w:rsidRPr="00AD0DD9">
        <w:rPr>
          <w:rFonts w:cs="Calibri"/>
          <w:bCs/>
        </w:rPr>
        <w:t xml:space="preserve">zachowanie stosunku w/c nie większego niż podanych w </w:t>
      </w:r>
      <w:r w:rsidR="00D77FC4">
        <w:rPr>
          <w:rFonts w:cs="Calibri"/>
          <w:bCs/>
        </w:rPr>
        <w:t>zaleceniach</w:t>
      </w:r>
      <w:r w:rsidRPr="00AD0DD9">
        <w:rPr>
          <w:rFonts w:cs="Calibri"/>
          <w:bCs/>
        </w:rPr>
        <w:t>.</w:t>
      </w:r>
    </w:p>
    <w:p w14:paraId="270FDB46" w14:textId="65AEFC4C" w:rsidR="00743365" w:rsidRPr="00AD0DD9" w:rsidRDefault="00AD0DD9" w:rsidP="00AD0DD9">
      <w:pPr>
        <w:spacing w:after="0"/>
        <w:jc w:val="both"/>
        <w:rPr>
          <w:rFonts w:cs="Calibri"/>
          <w:bCs/>
        </w:rPr>
      </w:pPr>
      <w:r w:rsidRPr="00AD0DD9">
        <w:rPr>
          <w:rFonts w:cs="Calibri"/>
          <w:bCs/>
        </w:rPr>
        <w:t>Badania wody należy wykonać:</w:t>
      </w:r>
    </w:p>
    <w:p w14:paraId="0B63A2F7" w14:textId="77777777" w:rsidR="00D77FC4" w:rsidRPr="00D77FC4" w:rsidRDefault="00D77FC4" w:rsidP="00EB7764">
      <w:pPr>
        <w:pStyle w:val="Akapitzlist"/>
        <w:numPr>
          <w:ilvl w:val="0"/>
          <w:numId w:val="13"/>
        </w:numPr>
        <w:spacing w:after="0"/>
        <w:jc w:val="both"/>
        <w:rPr>
          <w:rFonts w:cs="Calibri"/>
          <w:bCs/>
        </w:rPr>
      </w:pPr>
      <w:r w:rsidRPr="00D77FC4">
        <w:rPr>
          <w:rFonts w:cs="Calibri"/>
          <w:bCs/>
        </w:rPr>
        <w:t>w przypadku nowego źródła poboru wody</w:t>
      </w:r>
    </w:p>
    <w:p w14:paraId="086F9A34" w14:textId="77777777" w:rsidR="00D77FC4" w:rsidRPr="00D77FC4" w:rsidRDefault="00D77FC4" w:rsidP="00EB7764">
      <w:pPr>
        <w:pStyle w:val="Akapitzlist"/>
        <w:numPr>
          <w:ilvl w:val="0"/>
          <w:numId w:val="13"/>
        </w:numPr>
        <w:spacing w:after="0"/>
        <w:jc w:val="both"/>
        <w:rPr>
          <w:rFonts w:cs="Calibri"/>
          <w:bCs/>
        </w:rPr>
      </w:pPr>
      <w:r w:rsidRPr="00D77FC4">
        <w:rPr>
          <w:rFonts w:cs="Calibri"/>
          <w:bCs/>
        </w:rPr>
        <w:t>w przypadku podejrzeń dotyczących zmiany parametrów wody ( np. zmętnienie, zapach i barwa)</w:t>
      </w:r>
    </w:p>
    <w:p w14:paraId="2E55D9F9" w14:textId="4BC0C5A8" w:rsidR="00743365" w:rsidRPr="00D77FC4" w:rsidRDefault="00D77FC4" w:rsidP="00EB7764">
      <w:pPr>
        <w:pStyle w:val="Akapitzlist"/>
        <w:numPr>
          <w:ilvl w:val="0"/>
          <w:numId w:val="13"/>
        </w:numPr>
        <w:spacing w:after="0"/>
        <w:jc w:val="both"/>
        <w:rPr>
          <w:rFonts w:cs="Calibri"/>
          <w:bCs/>
        </w:rPr>
      </w:pPr>
      <w:r w:rsidRPr="00D77FC4">
        <w:rPr>
          <w:rFonts w:cs="Calibri"/>
          <w:bCs/>
        </w:rPr>
        <w:lastRenderedPageBreak/>
        <w:t>na życzenie Inspektora Nadzoru badanie wody na zawartość substancji mogących spowodować korozję betonu np. chlorki</w:t>
      </w:r>
    </w:p>
    <w:p w14:paraId="1649CDE2" w14:textId="32BB1BFD" w:rsidR="00743365" w:rsidRPr="00CC7BD6" w:rsidRDefault="00D77FC4" w:rsidP="00CC7BD6">
      <w:pPr>
        <w:pStyle w:val="Akapitzlist"/>
        <w:numPr>
          <w:ilvl w:val="1"/>
          <w:numId w:val="1"/>
        </w:numPr>
        <w:spacing w:after="0"/>
        <w:jc w:val="both"/>
        <w:rPr>
          <w:rFonts w:cs="Calibri"/>
          <w:b/>
          <w:bCs/>
        </w:rPr>
      </w:pPr>
      <w:r w:rsidRPr="00CC7BD6">
        <w:rPr>
          <w:rFonts w:cs="Calibri"/>
          <w:b/>
          <w:bCs/>
        </w:rPr>
        <w:t>Dodatki i domieszki do betonu</w:t>
      </w:r>
    </w:p>
    <w:p w14:paraId="1950A890" w14:textId="08740FF8" w:rsidR="00DB55DC" w:rsidRPr="00DB55DC" w:rsidRDefault="00DB55DC" w:rsidP="00DB55DC">
      <w:pPr>
        <w:spacing w:after="0"/>
        <w:jc w:val="both"/>
        <w:rPr>
          <w:rFonts w:cs="Calibri"/>
          <w:bCs/>
        </w:rPr>
      </w:pPr>
      <w:r w:rsidRPr="00DB55DC">
        <w:rPr>
          <w:rFonts w:cs="Calibri"/>
          <w:bCs/>
        </w:rPr>
        <w:t>Jako domieszki należy rozumieć substancje w postaci cieczy, pasty lub proszku stosowane w ilościach na tyle</w:t>
      </w:r>
      <w:r>
        <w:rPr>
          <w:rFonts w:cs="Calibri"/>
          <w:bCs/>
        </w:rPr>
        <w:t xml:space="preserve"> </w:t>
      </w:r>
      <w:r w:rsidRPr="00DB55DC">
        <w:rPr>
          <w:rFonts w:cs="Calibri"/>
          <w:bCs/>
        </w:rPr>
        <w:t>małych, że nie muszą być traktowane jako składnik objętościowy betonu. Natomiast dodatki występujące w</w:t>
      </w:r>
      <w:r>
        <w:rPr>
          <w:rFonts w:cs="Calibri"/>
          <w:bCs/>
        </w:rPr>
        <w:t xml:space="preserve"> </w:t>
      </w:r>
      <w:r w:rsidRPr="00DB55DC">
        <w:rPr>
          <w:rFonts w:cs="Calibri"/>
          <w:bCs/>
        </w:rPr>
        <w:t>postaci materiału drobnoziarnistego muszą być ze względu na stosowaną większą ilość doliczone do masy</w:t>
      </w:r>
      <w:r>
        <w:rPr>
          <w:rFonts w:cs="Calibri"/>
          <w:bCs/>
        </w:rPr>
        <w:t xml:space="preserve"> </w:t>
      </w:r>
      <w:r w:rsidRPr="00DB55DC">
        <w:rPr>
          <w:rFonts w:cs="Calibri"/>
          <w:bCs/>
        </w:rPr>
        <w:t>cementu jako dodatkowy składnik objętościowy</w:t>
      </w:r>
    </w:p>
    <w:p w14:paraId="53744639" w14:textId="043E9AA2" w:rsidR="00743365" w:rsidRPr="00AD0DD9" w:rsidRDefault="00DB55DC" w:rsidP="00DB55DC">
      <w:pPr>
        <w:spacing w:after="0"/>
        <w:jc w:val="both"/>
        <w:rPr>
          <w:rFonts w:cs="Calibri"/>
          <w:bCs/>
        </w:rPr>
      </w:pPr>
      <w:r w:rsidRPr="00DB55DC">
        <w:rPr>
          <w:rFonts w:cs="Calibri"/>
          <w:bCs/>
        </w:rPr>
        <w:t xml:space="preserve">Zgodnie z </w:t>
      </w:r>
      <w:r>
        <w:t>PN-EN 206-1</w:t>
      </w:r>
      <w:r w:rsidRPr="00DB55DC">
        <w:rPr>
          <w:rFonts w:cs="Calibri"/>
          <w:bCs/>
        </w:rPr>
        <w:t xml:space="preserve"> dopuszcza się zastosowanie domieszek i dodatków do betonu spełniających wymagania </w:t>
      </w:r>
      <w:r>
        <w:t>PN-EN 934-2</w:t>
      </w:r>
      <w:r w:rsidRPr="00DB55DC">
        <w:rPr>
          <w:rFonts w:cs="Calibri"/>
          <w:bCs/>
        </w:rPr>
        <w:t>, a w</w:t>
      </w:r>
      <w:r>
        <w:rPr>
          <w:rFonts w:cs="Calibri"/>
          <w:bCs/>
        </w:rPr>
        <w:t xml:space="preserve"> </w:t>
      </w:r>
      <w:r w:rsidRPr="00DB55DC">
        <w:rPr>
          <w:rFonts w:cs="Calibri"/>
          <w:bCs/>
        </w:rPr>
        <w:t>szczególności:</w:t>
      </w:r>
    </w:p>
    <w:p w14:paraId="771E3F6C" w14:textId="05AE1EC6" w:rsidR="00DB55DC" w:rsidRPr="00DB55DC" w:rsidRDefault="00DB55DC" w:rsidP="00EB7764">
      <w:pPr>
        <w:pStyle w:val="Akapitzlist"/>
        <w:numPr>
          <w:ilvl w:val="0"/>
          <w:numId w:val="14"/>
        </w:numPr>
        <w:spacing w:after="0"/>
        <w:jc w:val="both"/>
        <w:rPr>
          <w:rFonts w:cs="Calibri"/>
          <w:bCs/>
        </w:rPr>
      </w:pPr>
      <w:r w:rsidRPr="00DB55DC">
        <w:rPr>
          <w:rFonts w:cs="Calibri"/>
          <w:bCs/>
        </w:rPr>
        <w:t>domieszek uplastyczniających,</w:t>
      </w:r>
    </w:p>
    <w:p w14:paraId="5E7416EE" w14:textId="7B8E7B25" w:rsidR="00DB55DC" w:rsidRPr="00DB55DC" w:rsidRDefault="00DB55DC" w:rsidP="00EB7764">
      <w:pPr>
        <w:pStyle w:val="Akapitzlist"/>
        <w:numPr>
          <w:ilvl w:val="0"/>
          <w:numId w:val="14"/>
        </w:numPr>
        <w:spacing w:after="0"/>
        <w:jc w:val="both"/>
        <w:rPr>
          <w:rFonts w:cs="Calibri"/>
          <w:bCs/>
        </w:rPr>
      </w:pPr>
      <w:r w:rsidRPr="00DB55DC">
        <w:rPr>
          <w:rFonts w:cs="Calibri"/>
          <w:bCs/>
        </w:rPr>
        <w:t>domieszek upłynniających,</w:t>
      </w:r>
    </w:p>
    <w:p w14:paraId="26A09CAD" w14:textId="686F227E" w:rsidR="00DB55DC" w:rsidRPr="00DB55DC" w:rsidRDefault="00DB55DC" w:rsidP="00EB7764">
      <w:pPr>
        <w:pStyle w:val="Akapitzlist"/>
        <w:numPr>
          <w:ilvl w:val="0"/>
          <w:numId w:val="14"/>
        </w:numPr>
        <w:spacing w:after="0"/>
        <w:jc w:val="both"/>
        <w:rPr>
          <w:rFonts w:cs="Calibri"/>
          <w:bCs/>
        </w:rPr>
      </w:pPr>
      <w:r w:rsidRPr="00DB55DC">
        <w:rPr>
          <w:rFonts w:cs="Calibri"/>
          <w:bCs/>
        </w:rPr>
        <w:t xml:space="preserve">domieszek zwiększających </w:t>
      </w:r>
      <w:proofErr w:type="spellStart"/>
      <w:r w:rsidRPr="00DB55DC">
        <w:rPr>
          <w:rFonts w:cs="Calibri"/>
          <w:bCs/>
        </w:rPr>
        <w:t>wiąźliwość</w:t>
      </w:r>
      <w:proofErr w:type="spellEnd"/>
      <w:r w:rsidRPr="00DB55DC">
        <w:rPr>
          <w:rFonts w:cs="Calibri"/>
          <w:bCs/>
        </w:rPr>
        <w:t xml:space="preserve"> wody,</w:t>
      </w:r>
    </w:p>
    <w:p w14:paraId="7AA7681E" w14:textId="6ACB467F" w:rsidR="00DB55DC" w:rsidRPr="00DB55DC" w:rsidRDefault="00DB55DC" w:rsidP="00EB7764">
      <w:pPr>
        <w:pStyle w:val="Akapitzlist"/>
        <w:numPr>
          <w:ilvl w:val="0"/>
          <w:numId w:val="14"/>
        </w:numPr>
        <w:spacing w:after="0"/>
        <w:jc w:val="both"/>
        <w:rPr>
          <w:rFonts w:cs="Calibri"/>
          <w:bCs/>
        </w:rPr>
      </w:pPr>
      <w:r w:rsidRPr="00DB55DC">
        <w:rPr>
          <w:rFonts w:cs="Calibri"/>
          <w:bCs/>
        </w:rPr>
        <w:t>domieszek napowietrzających,</w:t>
      </w:r>
    </w:p>
    <w:p w14:paraId="03524DD9" w14:textId="03F33699" w:rsidR="00DB55DC" w:rsidRPr="00DB55DC" w:rsidRDefault="00DB55DC" w:rsidP="00EB7764">
      <w:pPr>
        <w:pStyle w:val="Akapitzlist"/>
        <w:numPr>
          <w:ilvl w:val="0"/>
          <w:numId w:val="14"/>
        </w:numPr>
        <w:spacing w:after="0"/>
        <w:jc w:val="both"/>
        <w:rPr>
          <w:rFonts w:cs="Calibri"/>
          <w:bCs/>
        </w:rPr>
      </w:pPr>
      <w:r w:rsidRPr="00DB55DC">
        <w:rPr>
          <w:rFonts w:cs="Calibri"/>
          <w:bCs/>
        </w:rPr>
        <w:t>domieszek przyspieszających wiązanie,</w:t>
      </w:r>
    </w:p>
    <w:p w14:paraId="0781368E" w14:textId="03E324FF" w:rsidR="00DB55DC" w:rsidRPr="00DB55DC" w:rsidRDefault="00DB55DC" w:rsidP="00EB7764">
      <w:pPr>
        <w:pStyle w:val="Akapitzlist"/>
        <w:numPr>
          <w:ilvl w:val="0"/>
          <w:numId w:val="14"/>
        </w:numPr>
        <w:spacing w:after="0"/>
        <w:jc w:val="both"/>
        <w:rPr>
          <w:rFonts w:cs="Calibri"/>
          <w:bCs/>
        </w:rPr>
      </w:pPr>
      <w:r w:rsidRPr="00DB55DC">
        <w:rPr>
          <w:rFonts w:cs="Calibri"/>
          <w:bCs/>
        </w:rPr>
        <w:t>domieszek przyspieszających początkowy przyrost wytrzymałości,</w:t>
      </w:r>
    </w:p>
    <w:p w14:paraId="368178FD" w14:textId="14463152" w:rsidR="00743365" w:rsidRPr="00DB55DC" w:rsidRDefault="00DB55DC" w:rsidP="00EB7764">
      <w:pPr>
        <w:pStyle w:val="Akapitzlist"/>
        <w:numPr>
          <w:ilvl w:val="0"/>
          <w:numId w:val="14"/>
        </w:numPr>
        <w:spacing w:after="0"/>
        <w:jc w:val="both"/>
        <w:rPr>
          <w:rFonts w:cs="Calibri"/>
          <w:bCs/>
        </w:rPr>
      </w:pPr>
      <w:r w:rsidRPr="00DB55DC">
        <w:rPr>
          <w:rFonts w:cs="Calibri"/>
          <w:bCs/>
        </w:rPr>
        <w:t>domieszek opóźniających wiązanie,</w:t>
      </w:r>
    </w:p>
    <w:p w14:paraId="3901DE2F" w14:textId="619E4DEB" w:rsidR="005E4342" w:rsidRPr="00594B84" w:rsidRDefault="005E4342" w:rsidP="00EB7764">
      <w:pPr>
        <w:pStyle w:val="Akapitzlist"/>
        <w:numPr>
          <w:ilvl w:val="0"/>
          <w:numId w:val="14"/>
        </w:numPr>
        <w:spacing w:after="0"/>
        <w:jc w:val="both"/>
        <w:rPr>
          <w:rFonts w:cs="Calibri"/>
          <w:bCs/>
        </w:rPr>
      </w:pPr>
      <w:r w:rsidRPr="00594B84">
        <w:rPr>
          <w:rFonts w:cs="Calibri"/>
          <w:bCs/>
        </w:rPr>
        <w:t xml:space="preserve">domieszek i dodatków mineralnych, </w:t>
      </w:r>
    </w:p>
    <w:p w14:paraId="6EF6C47B" w14:textId="5E4CFE61" w:rsidR="00743365" w:rsidRPr="005E4342" w:rsidRDefault="005E4342" w:rsidP="00EB7764">
      <w:pPr>
        <w:pStyle w:val="Akapitzlist"/>
        <w:numPr>
          <w:ilvl w:val="0"/>
          <w:numId w:val="14"/>
        </w:numPr>
        <w:spacing w:after="0"/>
        <w:jc w:val="both"/>
        <w:rPr>
          <w:rFonts w:cs="Calibri"/>
          <w:bCs/>
        </w:rPr>
      </w:pPr>
      <w:r w:rsidRPr="00594B84">
        <w:rPr>
          <w:rFonts w:cs="Calibri"/>
          <w:bCs/>
        </w:rPr>
        <w:t xml:space="preserve">domieszek </w:t>
      </w:r>
      <w:proofErr w:type="spellStart"/>
      <w:r w:rsidRPr="00594B84">
        <w:rPr>
          <w:rFonts w:cs="Calibri"/>
          <w:bCs/>
        </w:rPr>
        <w:t>mrozoochronnych</w:t>
      </w:r>
      <w:proofErr w:type="spellEnd"/>
      <w:r w:rsidRPr="00594B84">
        <w:rPr>
          <w:rFonts w:cs="Calibri"/>
          <w:bCs/>
        </w:rPr>
        <w:t>.</w:t>
      </w:r>
    </w:p>
    <w:p w14:paraId="11E99D4D" w14:textId="77777777" w:rsidR="00594B84" w:rsidRPr="00594B84" w:rsidRDefault="00594B84" w:rsidP="00594B84">
      <w:pPr>
        <w:spacing w:after="0"/>
        <w:jc w:val="both"/>
        <w:rPr>
          <w:rFonts w:cs="Calibri"/>
          <w:bCs/>
        </w:rPr>
      </w:pPr>
      <w:r w:rsidRPr="00594B84">
        <w:rPr>
          <w:rFonts w:cs="Calibri"/>
          <w:bCs/>
        </w:rPr>
        <w:t xml:space="preserve">W przypadku, gdy spodziewany jest duży wzrost temperatury otoczenia w trakcie twardnienia betonu, co może skutkować niższym poziomem osiąganej wytrzymałości końcowej, powstawaniem </w:t>
      </w:r>
      <w:proofErr w:type="spellStart"/>
      <w:r w:rsidRPr="00594B84">
        <w:rPr>
          <w:rFonts w:cs="Calibri"/>
          <w:bCs/>
        </w:rPr>
        <w:t>mikrorys</w:t>
      </w:r>
      <w:proofErr w:type="spellEnd"/>
      <w:r w:rsidRPr="00594B84">
        <w:rPr>
          <w:rFonts w:cs="Calibri"/>
          <w:bCs/>
        </w:rPr>
        <w:t xml:space="preserve"> spowodowanych odkształceniem termicznym oraz zmianą barwy betonu, zaleca się stosować środki opóźniające proces hydratyzacji. Należy odpowiednio dobrać ilość opóźniacza, ponieważ dozowanie opóźniacza w różnych ilościach zależnie od temperatury otoczenia może być przyczyną różnic w zabarwieniu betonu. Również dozowanie opóźniacza w celu w celu uniknięcia powstawania styków roboczych pomiędzy kolejnymi warstwami układanego betonu może mieć wpływ na zmianę koloru betonu. Należy rozważyć dozowanie środków opóźniających wiązanie na zbliżonym poziomie do wszystkich partii betonu ze względu na utrzymanie jednolitości barwy.</w:t>
      </w:r>
    </w:p>
    <w:p w14:paraId="4A4460AC" w14:textId="3F6D96D5" w:rsidR="00594B84" w:rsidRPr="00594B84" w:rsidRDefault="00594B84" w:rsidP="00594B84">
      <w:pPr>
        <w:spacing w:after="0"/>
        <w:jc w:val="both"/>
        <w:rPr>
          <w:rFonts w:cs="Calibri"/>
          <w:bCs/>
        </w:rPr>
      </w:pPr>
      <w:r w:rsidRPr="00594B84">
        <w:rPr>
          <w:rFonts w:cs="Calibri"/>
          <w:bCs/>
        </w:rPr>
        <w:t>Zaleca się napowietrzanie betonu w elementach narażonych na cykliczne zamrażanie i odmrażanie przez dodanie domieszek napowietrzających, gdyż zwiększają one mrozoodporność betonu narażonego na cykliczne zamrażanie i odmrażanie.</w:t>
      </w:r>
    </w:p>
    <w:p w14:paraId="26CCB965" w14:textId="3C3D8E30" w:rsidR="00743365" w:rsidRPr="00AD0DD9" w:rsidRDefault="00594B84" w:rsidP="00594B84">
      <w:pPr>
        <w:spacing w:after="0"/>
        <w:jc w:val="both"/>
        <w:rPr>
          <w:rFonts w:cs="Calibri"/>
          <w:bCs/>
        </w:rPr>
      </w:pPr>
      <w:r w:rsidRPr="00594B84">
        <w:rPr>
          <w:rFonts w:cs="Calibri"/>
          <w:bCs/>
        </w:rPr>
        <w:t>Zaleca się stosowanie domieszek napowietrzających również w pozostałych elementach, ale w tych przypadkach ostateczną decyzje pozostawia się Inżynierowi. Przy stosowaniu domieszek i dodatków należy zwrócić uwagę, aby nie spowodowały one istotnych różnic w kolorystyce poszczególnych elementów obiektów; domieszki opóźniające wiązanie powodują uzyskanie powierzchni o ciemniejszej barwie, domieszki napowietrzające powodują uzyskanie jaśniejszej barwy powierzchni.</w:t>
      </w:r>
    </w:p>
    <w:p w14:paraId="3C5B4F2A" w14:textId="77777777" w:rsidR="00594B84" w:rsidRDefault="00594B84" w:rsidP="00C37FD7">
      <w:pPr>
        <w:spacing w:after="0"/>
        <w:jc w:val="both"/>
        <w:rPr>
          <w:rFonts w:cs="Calibri"/>
          <w:bCs/>
        </w:rPr>
      </w:pPr>
      <w:r w:rsidRPr="00594B84">
        <w:rPr>
          <w:rFonts w:cs="Calibri"/>
          <w:bCs/>
        </w:rPr>
        <w:t xml:space="preserve">Należy stosować domieszki i dodatki, dla których producent przedstawi: </w:t>
      </w:r>
    </w:p>
    <w:p w14:paraId="02DDF2EB" w14:textId="77777777" w:rsidR="00594B84" w:rsidRPr="00594B84" w:rsidRDefault="00594B84" w:rsidP="00EB7764">
      <w:pPr>
        <w:pStyle w:val="Akapitzlist"/>
        <w:numPr>
          <w:ilvl w:val="0"/>
          <w:numId w:val="15"/>
        </w:numPr>
        <w:spacing w:after="0"/>
        <w:jc w:val="both"/>
        <w:rPr>
          <w:rFonts w:cs="Calibri"/>
          <w:bCs/>
        </w:rPr>
      </w:pPr>
      <w:r w:rsidRPr="00594B84">
        <w:rPr>
          <w:rFonts w:cs="Calibri"/>
          <w:bCs/>
        </w:rPr>
        <w:t xml:space="preserve">deklarację zgodności z Polską Normą, nie mającą statusu normy wycofanej lub Aprobatą Techniczną i oznaczenie znakiem budowlanym </w:t>
      </w:r>
    </w:p>
    <w:p w14:paraId="39BED15A" w14:textId="15F8BFAC" w:rsidR="00743365" w:rsidRPr="00594B84" w:rsidRDefault="00594B84" w:rsidP="00EB7764">
      <w:pPr>
        <w:pStyle w:val="Akapitzlist"/>
        <w:numPr>
          <w:ilvl w:val="0"/>
          <w:numId w:val="15"/>
        </w:numPr>
        <w:spacing w:after="0"/>
        <w:jc w:val="both"/>
        <w:rPr>
          <w:rFonts w:cs="Calibri"/>
          <w:bCs/>
        </w:rPr>
      </w:pPr>
      <w:r w:rsidRPr="00594B84">
        <w:rPr>
          <w:rFonts w:cs="Calibri"/>
          <w:bCs/>
        </w:rPr>
        <w:t>albo deklarację zgodności z Polską Normą wprowadzającą normę zharmonizowaną na wyrób budowlany lub Europejską Aprobatą Techniczną oraz oznaczenie CE</w:t>
      </w:r>
    </w:p>
    <w:p w14:paraId="09FEA33C" w14:textId="77777777" w:rsidR="00594B84" w:rsidRDefault="00594B84" w:rsidP="00594B84">
      <w:pPr>
        <w:spacing w:after="0"/>
        <w:jc w:val="both"/>
        <w:rPr>
          <w:rFonts w:cs="Calibri"/>
          <w:bCs/>
        </w:rPr>
      </w:pPr>
      <w:r w:rsidRPr="00594B84">
        <w:rPr>
          <w:rFonts w:cs="Calibri"/>
          <w:bCs/>
        </w:rPr>
        <w:t xml:space="preserve">Przydatność domieszek do betonu powinna być ustalona na podstawie wymagań określonych w PN-EN 934-1 i PN-EN 934-2. W składzie i właściwościach stosowanych domieszkach, z uwagi na trwałość betonu, szczególnie istotne są: </w:t>
      </w:r>
    </w:p>
    <w:p w14:paraId="20BF9D5E" w14:textId="77777777" w:rsidR="00594B84" w:rsidRPr="00594B84" w:rsidRDefault="00594B84" w:rsidP="00EB7764">
      <w:pPr>
        <w:pStyle w:val="Akapitzlist"/>
        <w:numPr>
          <w:ilvl w:val="0"/>
          <w:numId w:val="16"/>
        </w:numPr>
        <w:spacing w:after="0"/>
        <w:jc w:val="both"/>
        <w:rPr>
          <w:rFonts w:cs="Calibri"/>
          <w:bCs/>
        </w:rPr>
      </w:pPr>
      <w:r w:rsidRPr="00594B84">
        <w:rPr>
          <w:rFonts w:cs="Calibri"/>
          <w:bCs/>
        </w:rPr>
        <w:t xml:space="preserve">zawartość chloru i chlorków rozpuszczalnych w wodzie, </w:t>
      </w:r>
    </w:p>
    <w:p w14:paraId="4194CD51" w14:textId="77777777" w:rsidR="00594B84" w:rsidRPr="00594B84" w:rsidRDefault="00594B84" w:rsidP="00EB7764">
      <w:pPr>
        <w:pStyle w:val="Akapitzlist"/>
        <w:numPr>
          <w:ilvl w:val="0"/>
          <w:numId w:val="16"/>
        </w:numPr>
        <w:spacing w:after="0"/>
        <w:jc w:val="both"/>
        <w:rPr>
          <w:rFonts w:cs="Calibri"/>
          <w:bCs/>
        </w:rPr>
      </w:pPr>
      <w:r w:rsidRPr="00594B84">
        <w:rPr>
          <w:rFonts w:cs="Calibri"/>
          <w:bCs/>
        </w:rPr>
        <w:lastRenderedPageBreak/>
        <w:t xml:space="preserve">zawartość alkaliów, </w:t>
      </w:r>
    </w:p>
    <w:p w14:paraId="226EA355" w14:textId="7204EA13" w:rsidR="00594B84" w:rsidRPr="00594B84" w:rsidRDefault="00594B84" w:rsidP="00EB7764">
      <w:pPr>
        <w:pStyle w:val="Akapitzlist"/>
        <w:numPr>
          <w:ilvl w:val="0"/>
          <w:numId w:val="16"/>
        </w:numPr>
        <w:spacing w:after="0"/>
        <w:jc w:val="both"/>
        <w:rPr>
          <w:rFonts w:cs="Calibri"/>
          <w:bCs/>
        </w:rPr>
      </w:pPr>
      <w:r w:rsidRPr="00594B84">
        <w:rPr>
          <w:rFonts w:cs="Calibri"/>
          <w:bCs/>
        </w:rPr>
        <w:t>oddziaływanie korozyjne.</w:t>
      </w:r>
    </w:p>
    <w:p w14:paraId="021A1602" w14:textId="097CB4D8" w:rsidR="00743365" w:rsidRPr="00AD0DD9" w:rsidRDefault="00594B84" w:rsidP="00594B84">
      <w:pPr>
        <w:spacing w:after="0"/>
        <w:jc w:val="both"/>
        <w:rPr>
          <w:rFonts w:cs="Calibri"/>
          <w:bCs/>
        </w:rPr>
      </w:pPr>
      <w:r w:rsidRPr="00594B84">
        <w:rPr>
          <w:rFonts w:cs="Calibri"/>
          <w:bCs/>
        </w:rPr>
        <w:t>W przypadku stosowania więcej niż jednej domieszki kompatybilność tych domieszek należy sprawdzić w badaniach wstępnych. Kompatybilność domieszki napowietrzającej z innymi domieszkani należy stwierdzić na podstawie kryteriów dotyczących domieszek napowietrzających, określonych w PN-EN 934-2. Stosowanie domieszki napowietrzającej w betonie wykonanym z cementu innego niż CEM I wymaga także sprawdzenia w badaniach wstępnych, odniesionych do kryteriów zawartych w PN-EN 934-2.</w:t>
      </w:r>
    </w:p>
    <w:p w14:paraId="2D451C90" w14:textId="4E183595" w:rsidR="00743365" w:rsidRPr="00AD0DD9" w:rsidRDefault="00594B84" w:rsidP="00C37FD7">
      <w:pPr>
        <w:spacing w:after="0"/>
        <w:jc w:val="both"/>
        <w:rPr>
          <w:rFonts w:cs="Calibri"/>
          <w:bCs/>
        </w:rPr>
      </w:pPr>
      <w:r w:rsidRPr="00594B84">
        <w:rPr>
          <w:rFonts w:cs="Calibri"/>
          <w:bCs/>
        </w:rPr>
        <w:t>Przy stosowaniu domieszek i dodatków należy zwrócić uwagę, aby nie spowodowały one istotnych różnic w kolorystyce poszczególnych elementów obiektów; domieszki opóźniające wiązanie powodują uzyskanie powierzchni o ciemniejszej barwie, domieszki napowietrzające powodują uzyskanie jaśniejszej barwy powierzchni. Stosowanie domieszek do produkcji mieszanek betonowych wymaga na etapie wstępnym przeprowadzenia kontroli skutków ubocznych, takich jak: zmniejszenie wytrzymałości, zwiększenie nasiąkliwości i skurczu po stwardnieniu.</w:t>
      </w:r>
    </w:p>
    <w:p w14:paraId="03205229" w14:textId="51AF0CE5" w:rsidR="00743365" w:rsidRPr="00CC7BD6" w:rsidRDefault="00594B84" w:rsidP="00CC7BD6">
      <w:pPr>
        <w:pStyle w:val="Akapitzlist"/>
        <w:numPr>
          <w:ilvl w:val="1"/>
          <w:numId w:val="1"/>
        </w:numPr>
        <w:spacing w:after="0"/>
        <w:jc w:val="both"/>
        <w:rPr>
          <w:rFonts w:cs="Calibri"/>
          <w:b/>
          <w:bCs/>
        </w:rPr>
      </w:pPr>
      <w:r w:rsidRPr="00CC7BD6">
        <w:rPr>
          <w:rFonts w:cs="Calibri"/>
          <w:b/>
          <w:bCs/>
        </w:rPr>
        <w:t>Ustalanie składu mieszanki betonowej</w:t>
      </w:r>
    </w:p>
    <w:p w14:paraId="3201041B" w14:textId="764CEC0D" w:rsidR="007A778E" w:rsidRPr="007A778E" w:rsidRDefault="007A778E" w:rsidP="007A778E">
      <w:pPr>
        <w:spacing w:after="0"/>
        <w:jc w:val="both"/>
        <w:rPr>
          <w:rFonts w:cs="Calibri"/>
          <w:bCs/>
        </w:rPr>
      </w:pPr>
      <w:r w:rsidRPr="007A778E">
        <w:rPr>
          <w:rFonts w:cs="Calibri"/>
          <w:bCs/>
        </w:rPr>
        <w:t>Skład mieszanki betonowej powinien być ustalony tak, aby przy najmniejszej ilości wody zapewnić szczelne ułożenie mieszanki w wyniku zagęszczania przez wibrowanie. Skład mieszanki betonowej ustala laboratorium Wykonawcy lub wytwórni betonów i wymaga on zatwierdzenia przez Inżyniera. Skład mieszanki betonowej powinien być ustalony zgodnie z normą PN-EN 206-1 i następującymi zasadami:</w:t>
      </w:r>
    </w:p>
    <w:p w14:paraId="716E8251" w14:textId="65402D78" w:rsidR="007A778E" w:rsidRPr="007A778E" w:rsidRDefault="007A778E" w:rsidP="007A778E">
      <w:pPr>
        <w:spacing w:after="0"/>
        <w:ind w:left="708"/>
        <w:jc w:val="both"/>
        <w:rPr>
          <w:rFonts w:cs="Calibri"/>
          <w:bCs/>
        </w:rPr>
      </w:pPr>
      <w:r w:rsidRPr="007A778E">
        <w:rPr>
          <w:rFonts w:cs="Calibri"/>
          <w:bCs/>
        </w:rPr>
        <w:t>1) skład mieszanki betonowej powinien przy najmniejszej ilości wody zapewnić szczelne ułożenie mieszanki</w:t>
      </w:r>
      <w:r>
        <w:rPr>
          <w:rFonts w:cs="Calibri"/>
          <w:bCs/>
        </w:rPr>
        <w:t xml:space="preserve"> </w:t>
      </w:r>
      <w:r w:rsidRPr="007A778E">
        <w:rPr>
          <w:rFonts w:cs="Calibri"/>
          <w:bCs/>
        </w:rPr>
        <w:t>w wyniku zagęszczania przez wibrowanie,</w:t>
      </w:r>
    </w:p>
    <w:p w14:paraId="378A626D" w14:textId="13974BA5" w:rsidR="007A778E" w:rsidRPr="007A778E" w:rsidRDefault="007A778E" w:rsidP="007A778E">
      <w:pPr>
        <w:spacing w:after="0"/>
        <w:ind w:left="708"/>
        <w:jc w:val="both"/>
        <w:rPr>
          <w:rFonts w:cs="Calibri"/>
          <w:bCs/>
        </w:rPr>
      </w:pPr>
      <w:r w:rsidRPr="007A778E">
        <w:rPr>
          <w:rFonts w:cs="Calibri"/>
          <w:bCs/>
        </w:rPr>
        <w:t xml:space="preserve">2) wartość stosunku w/c nie większa niż od wartości podanych w Tablicy F1 </w:t>
      </w:r>
      <w:r>
        <w:t>PN-EN 206-1</w:t>
      </w:r>
      <w:r w:rsidRPr="007A778E">
        <w:rPr>
          <w:rFonts w:cs="Calibri"/>
          <w:bCs/>
        </w:rPr>
        <w:t>, W trakcie betonowania całego obiektu należy utrzymywać współczynnik w/c na tym samym poziomie. Różnice w/c dla mieszanek betonowych stosowanych w jednym obiekcie nie powinny przekraczać 0,02.</w:t>
      </w:r>
    </w:p>
    <w:p w14:paraId="52EEB2F5" w14:textId="77777777" w:rsidR="007A778E" w:rsidRPr="007A778E" w:rsidRDefault="007A778E" w:rsidP="007A778E">
      <w:pPr>
        <w:spacing w:after="0"/>
        <w:ind w:left="708"/>
        <w:jc w:val="both"/>
        <w:rPr>
          <w:rFonts w:cs="Calibri"/>
          <w:bCs/>
        </w:rPr>
      </w:pPr>
      <w:r w:rsidRPr="007A778E">
        <w:rPr>
          <w:rFonts w:cs="Calibri"/>
          <w:bCs/>
        </w:rPr>
        <w:t>3) klasa konsystencji mieszanki betonowej wg metody opadu stożka powinna wynosić S2 lub S3.</w:t>
      </w:r>
    </w:p>
    <w:p w14:paraId="302B6CA5" w14:textId="77777777" w:rsidR="007A778E" w:rsidRDefault="007A778E" w:rsidP="007A778E">
      <w:pPr>
        <w:spacing w:after="0"/>
        <w:ind w:left="708"/>
        <w:jc w:val="both"/>
        <w:rPr>
          <w:rFonts w:cs="Calibri"/>
          <w:bCs/>
        </w:rPr>
      </w:pPr>
      <w:r w:rsidRPr="007A778E">
        <w:rPr>
          <w:rFonts w:cs="Calibri"/>
          <w:bCs/>
        </w:rPr>
        <w:t xml:space="preserve">4) stosunek poszczególnych frakcji kruszywa grubego ustalany doświadczalnie powinien odpowiadać najmniejszej jamistości. Zawartość powietrza w mieszance betonowej badana metodą ciśnieniową wg </w:t>
      </w:r>
      <w:r>
        <w:t xml:space="preserve">PN-EN 12350-7 </w:t>
      </w:r>
      <w:r w:rsidRPr="007A778E">
        <w:rPr>
          <w:rFonts w:cs="Calibri"/>
          <w:bCs/>
        </w:rPr>
        <w:t xml:space="preserve">nie powinna przekraczać: </w:t>
      </w:r>
    </w:p>
    <w:p w14:paraId="3C892134" w14:textId="717A3ED8" w:rsidR="00743365" w:rsidRPr="007A778E" w:rsidRDefault="007A778E" w:rsidP="00EB7764">
      <w:pPr>
        <w:pStyle w:val="Akapitzlist"/>
        <w:numPr>
          <w:ilvl w:val="0"/>
          <w:numId w:val="17"/>
        </w:numPr>
        <w:spacing w:after="0"/>
        <w:jc w:val="both"/>
        <w:rPr>
          <w:rFonts w:cs="Calibri"/>
          <w:bCs/>
        </w:rPr>
      </w:pPr>
      <w:r w:rsidRPr="007A778E">
        <w:rPr>
          <w:rFonts w:cs="Calibri"/>
          <w:bCs/>
        </w:rPr>
        <w:t>przedziałów wartości podanych w tablicy w przypadku stosowania domieszek napowietrzających.</w:t>
      </w:r>
    </w:p>
    <w:p w14:paraId="64CEA6B0" w14:textId="66DDA080" w:rsidR="00743365" w:rsidRPr="00AD0DD9" w:rsidRDefault="00743365" w:rsidP="00C37FD7">
      <w:pPr>
        <w:spacing w:after="0"/>
        <w:jc w:val="both"/>
        <w:rPr>
          <w:rFonts w:cs="Calibri"/>
          <w:bCs/>
        </w:rPr>
      </w:pPr>
    </w:p>
    <w:p w14:paraId="5F634449" w14:textId="602CAF7D" w:rsidR="00743365" w:rsidRPr="00AD0DD9" w:rsidRDefault="007A778E" w:rsidP="00C37FD7">
      <w:pPr>
        <w:spacing w:after="0"/>
        <w:jc w:val="both"/>
        <w:rPr>
          <w:rFonts w:cs="Calibri"/>
          <w:bCs/>
        </w:rPr>
      </w:pPr>
      <w:r w:rsidRPr="007A778E">
        <w:rPr>
          <w:rFonts w:cs="Calibri"/>
          <w:bCs/>
        </w:rPr>
        <w:t>Zawartość powietrza w mieszance betonowej z domieszkami napowietrzającymi</w:t>
      </w:r>
    </w:p>
    <w:p w14:paraId="67F8BD66" w14:textId="6E019DB6" w:rsidR="00743365" w:rsidRPr="00AD0DD9" w:rsidRDefault="007A778E" w:rsidP="00C37FD7">
      <w:pPr>
        <w:spacing w:after="0"/>
        <w:jc w:val="both"/>
        <w:rPr>
          <w:rFonts w:cs="Calibri"/>
          <w:bCs/>
        </w:rPr>
      </w:pPr>
      <w:r w:rsidRPr="007A778E">
        <w:rPr>
          <w:rFonts w:cs="Calibri"/>
          <w:bCs/>
          <w:noProof/>
        </w:rPr>
        <w:drawing>
          <wp:inline distT="0" distB="0" distL="0" distR="0" wp14:anchorId="6C125B9D" wp14:editId="60D89FE0">
            <wp:extent cx="5760720" cy="12604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60475"/>
                    </a:xfrm>
                    <a:prstGeom prst="rect">
                      <a:avLst/>
                    </a:prstGeom>
                    <a:noFill/>
                    <a:ln>
                      <a:noFill/>
                    </a:ln>
                  </pic:spPr>
                </pic:pic>
              </a:graphicData>
            </a:graphic>
          </wp:inline>
        </w:drawing>
      </w:r>
    </w:p>
    <w:p w14:paraId="6C42CB19" w14:textId="6426F9AF" w:rsidR="00743365" w:rsidRDefault="007A778E" w:rsidP="00EB7764">
      <w:pPr>
        <w:pStyle w:val="Akapitzlist"/>
        <w:numPr>
          <w:ilvl w:val="0"/>
          <w:numId w:val="17"/>
        </w:numPr>
        <w:spacing w:after="0"/>
        <w:jc w:val="both"/>
        <w:rPr>
          <w:rFonts w:cs="Calibri"/>
          <w:bCs/>
        </w:rPr>
      </w:pPr>
      <w:r w:rsidRPr="007A778E">
        <w:rPr>
          <w:rFonts w:cs="Calibri"/>
          <w:bCs/>
        </w:rPr>
        <w:t>2% w betonie bez środków napowietrzających.</w:t>
      </w:r>
    </w:p>
    <w:p w14:paraId="4F2C8093" w14:textId="794D7578" w:rsidR="00594B84" w:rsidRDefault="00594B84" w:rsidP="00C37FD7">
      <w:pPr>
        <w:spacing w:after="0"/>
        <w:jc w:val="both"/>
        <w:rPr>
          <w:rFonts w:cs="Calibri"/>
          <w:bCs/>
        </w:rPr>
      </w:pPr>
    </w:p>
    <w:p w14:paraId="2BA07647" w14:textId="45E65B08" w:rsidR="00594B84" w:rsidRDefault="00594B84" w:rsidP="00C37FD7">
      <w:pPr>
        <w:spacing w:after="0"/>
        <w:jc w:val="both"/>
        <w:rPr>
          <w:rFonts w:cs="Calibri"/>
          <w:bCs/>
        </w:rPr>
      </w:pPr>
    </w:p>
    <w:p w14:paraId="08C6074B" w14:textId="0C347674" w:rsidR="005A5649" w:rsidRPr="005A5649" w:rsidRDefault="005A5649" w:rsidP="005A5649">
      <w:pPr>
        <w:spacing w:after="0"/>
        <w:ind w:left="708"/>
        <w:jc w:val="both"/>
        <w:rPr>
          <w:rFonts w:cs="Calibri"/>
          <w:bCs/>
        </w:rPr>
      </w:pPr>
      <w:r w:rsidRPr="005A5649">
        <w:rPr>
          <w:rFonts w:cs="Calibri"/>
          <w:bCs/>
        </w:rPr>
        <w:lastRenderedPageBreak/>
        <w:t>5) zawartość piasku w stosie okruchowym powinna być jak najmniejsza i jednocześnie zapewniać niezbędną</w:t>
      </w:r>
      <w:r>
        <w:rPr>
          <w:rFonts w:cs="Calibri"/>
          <w:bCs/>
        </w:rPr>
        <w:t xml:space="preserve"> </w:t>
      </w:r>
      <w:r w:rsidRPr="005A5649">
        <w:rPr>
          <w:rFonts w:cs="Calibri"/>
          <w:bCs/>
        </w:rPr>
        <w:t>urabialność przy zagęszczeniu przez wibrowanie oraz nie powinna być większa niż 42 % - przy kruszywie</w:t>
      </w:r>
      <w:r>
        <w:rPr>
          <w:rFonts w:cs="Calibri"/>
          <w:bCs/>
        </w:rPr>
        <w:t xml:space="preserve"> </w:t>
      </w:r>
      <w:r w:rsidRPr="005A5649">
        <w:rPr>
          <w:rFonts w:cs="Calibri"/>
          <w:bCs/>
        </w:rPr>
        <w:t>grubym do 16 mm,</w:t>
      </w:r>
    </w:p>
    <w:p w14:paraId="313F288F" w14:textId="30127907" w:rsidR="00594B84" w:rsidRDefault="005A5649" w:rsidP="005A5649">
      <w:pPr>
        <w:spacing w:after="0"/>
        <w:ind w:left="708"/>
        <w:jc w:val="both"/>
        <w:rPr>
          <w:rFonts w:cs="Calibri"/>
          <w:bCs/>
        </w:rPr>
      </w:pPr>
      <w:r w:rsidRPr="005A5649">
        <w:rPr>
          <w:rFonts w:cs="Calibri"/>
          <w:bCs/>
        </w:rPr>
        <w:t>6) ilości cementu w zależności od klasy betonu są następujące:</w:t>
      </w:r>
    </w:p>
    <w:p w14:paraId="5388A009" w14:textId="77777777" w:rsidR="005A5649" w:rsidRPr="005A5649" w:rsidRDefault="005A5649" w:rsidP="00EB7764">
      <w:pPr>
        <w:pStyle w:val="Akapitzlist"/>
        <w:numPr>
          <w:ilvl w:val="0"/>
          <w:numId w:val="17"/>
        </w:numPr>
        <w:spacing w:after="0"/>
        <w:jc w:val="both"/>
        <w:rPr>
          <w:rFonts w:cs="Calibri"/>
          <w:bCs/>
        </w:rPr>
      </w:pPr>
      <w:r w:rsidRPr="005A5649">
        <w:rPr>
          <w:rFonts w:cs="Calibri"/>
          <w:bCs/>
        </w:rPr>
        <w:t>maksymalne:</w:t>
      </w:r>
    </w:p>
    <w:p w14:paraId="3B706431" w14:textId="54609425" w:rsidR="005A5649" w:rsidRPr="005A5649" w:rsidRDefault="005A5649" w:rsidP="00EB7764">
      <w:pPr>
        <w:pStyle w:val="Akapitzlist"/>
        <w:numPr>
          <w:ilvl w:val="1"/>
          <w:numId w:val="17"/>
        </w:numPr>
        <w:spacing w:after="0"/>
        <w:jc w:val="both"/>
        <w:rPr>
          <w:rFonts w:cs="Calibri"/>
          <w:bCs/>
        </w:rPr>
      </w:pPr>
      <w:r w:rsidRPr="005A5649">
        <w:rPr>
          <w:rFonts w:cs="Calibri"/>
          <w:bCs/>
        </w:rPr>
        <w:t>400 kg/m3 dla betonu klasy C 25/30 (B30),</w:t>
      </w:r>
    </w:p>
    <w:p w14:paraId="61C08D5B" w14:textId="24F37FCC" w:rsidR="005A5649" w:rsidRPr="005A5649" w:rsidRDefault="005A5649" w:rsidP="00EB7764">
      <w:pPr>
        <w:pStyle w:val="Akapitzlist"/>
        <w:numPr>
          <w:ilvl w:val="1"/>
          <w:numId w:val="17"/>
        </w:numPr>
        <w:spacing w:after="0"/>
        <w:jc w:val="both"/>
        <w:rPr>
          <w:rFonts w:cs="Calibri"/>
          <w:bCs/>
        </w:rPr>
      </w:pPr>
      <w:r w:rsidRPr="005A5649">
        <w:rPr>
          <w:rFonts w:cs="Calibri"/>
          <w:bCs/>
        </w:rPr>
        <w:t>50 kg/m3 dla betonu klas C 30/37 (B35) i wyższych.</w:t>
      </w:r>
    </w:p>
    <w:p w14:paraId="32FBC8EE" w14:textId="6FC8CBA0" w:rsidR="005A5649" w:rsidRPr="005A5649" w:rsidRDefault="005A5649" w:rsidP="00EB7764">
      <w:pPr>
        <w:pStyle w:val="Akapitzlist"/>
        <w:numPr>
          <w:ilvl w:val="1"/>
          <w:numId w:val="17"/>
        </w:numPr>
        <w:spacing w:after="0"/>
        <w:jc w:val="both"/>
        <w:rPr>
          <w:rFonts w:cs="Calibri"/>
          <w:bCs/>
        </w:rPr>
      </w:pPr>
      <w:r w:rsidRPr="005A5649">
        <w:rPr>
          <w:rFonts w:cs="Calibri"/>
          <w:bCs/>
        </w:rPr>
        <w:t>Dopuszcza się przekraczanie tych ilości o 10 % w uzasadnionych przypadkach za zgodą Inżyniera,</w:t>
      </w:r>
    </w:p>
    <w:p w14:paraId="2F671425" w14:textId="0A12311F" w:rsidR="00594B84" w:rsidRDefault="005A5649" w:rsidP="00EB7764">
      <w:pPr>
        <w:pStyle w:val="Akapitzlist"/>
        <w:numPr>
          <w:ilvl w:val="0"/>
          <w:numId w:val="17"/>
        </w:numPr>
        <w:spacing w:after="0"/>
        <w:jc w:val="both"/>
        <w:rPr>
          <w:rFonts w:cs="Calibri"/>
          <w:bCs/>
        </w:rPr>
      </w:pPr>
      <w:r w:rsidRPr="005A5649">
        <w:rPr>
          <w:rFonts w:cs="Calibri"/>
          <w:bCs/>
        </w:rPr>
        <w:t xml:space="preserve">minimalne ze względu na klasę ekspozycji wg Tablicy F1 </w:t>
      </w:r>
      <w:r>
        <w:t>PN-EN 206-1</w:t>
      </w:r>
      <w:r w:rsidRPr="005A5649">
        <w:rPr>
          <w:rFonts w:cs="Calibri"/>
          <w:bCs/>
        </w:rPr>
        <w:t>.</w:t>
      </w:r>
    </w:p>
    <w:p w14:paraId="1EE2CBCE" w14:textId="223D4F5E" w:rsidR="005A5649" w:rsidRPr="005A5649" w:rsidRDefault="005A5649" w:rsidP="005A5649">
      <w:pPr>
        <w:spacing w:after="0"/>
        <w:ind w:left="708"/>
        <w:jc w:val="both"/>
        <w:rPr>
          <w:rFonts w:cs="Calibri"/>
          <w:bCs/>
        </w:rPr>
      </w:pPr>
      <w:r w:rsidRPr="005A5649">
        <w:rPr>
          <w:rFonts w:cs="Calibri"/>
          <w:bCs/>
        </w:rPr>
        <w:t>7) przy projektowaniu składu mieszanki betonowej zagęszczanej przez wibrowanie i dojrzewającej w warunkach</w:t>
      </w:r>
      <w:r>
        <w:rPr>
          <w:rFonts w:cs="Calibri"/>
          <w:bCs/>
        </w:rPr>
        <w:t xml:space="preserve"> </w:t>
      </w:r>
      <w:r w:rsidRPr="005A5649">
        <w:rPr>
          <w:rFonts w:cs="Calibri"/>
          <w:bCs/>
        </w:rPr>
        <w:t>naturalnych (średnia temperatura dobowa nie niższa niż 10</w:t>
      </w:r>
      <w:r w:rsidR="00CC7BD6" w:rsidRPr="00CC7BD6">
        <w:rPr>
          <w:rFonts w:cs="Calibri"/>
          <w:bCs/>
          <w:vertAlign w:val="superscript"/>
        </w:rPr>
        <w:t>o</w:t>
      </w:r>
      <w:r w:rsidRPr="005A5649">
        <w:rPr>
          <w:rFonts w:cs="Calibri"/>
          <w:bCs/>
        </w:rPr>
        <w:t>C), średnią wymaganą wytrzymałość na ściskanie należy</w:t>
      </w:r>
      <w:r>
        <w:rPr>
          <w:rFonts w:cs="Calibri"/>
          <w:bCs/>
        </w:rPr>
        <w:t xml:space="preserve"> </w:t>
      </w:r>
      <w:r w:rsidRPr="005A5649">
        <w:rPr>
          <w:rFonts w:cs="Calibri"/>
          <w:bCs/>
        </w:rPr>
        <w:t>określić wg wzoru:</w:t>
      </w:r>
    </w:p>
    <w:p w14:paraId="7DB162B1" w14:textId="77777777" w:rsidR="005A5649" w:rsidRPr="005A5649" w:rsidRDefault="005A5649" w:rsidP="005A5649">
      <w:pPr>
        <w:spacing w:after="0"/>
        <w:ind w:left="2832" w:firstLine="708"/>
        <w:jc w:val="both"/>
        <w:rPr>
          <w:rFonts w:cs="Calibri"/>
          <w:bCs/>
        </w:rPr>
      </w:pPr>
      <w:proofErr w:type="spellStart"/>
      <w:r w:rsidRPr="005A5649">
        <w:rPr>
          <w:rFonts w:cs="Calibri"/>
          <w:bCs/>
        </w:rPr>
        <w:t>f</w:t>
      </w:r>
      <w:r w:rsidRPr="005A5649">
        <w:rPr>
          <w:rFonts w:cs="Calibri"/>
          <w:bCs/>
          <w:vertAlign w:val="subscript"/>
        </w:rPr>
        <w:t>cm</w:t>
      </w:r>
      <w:proofErr w:type="spellEnd"/>
      <w:r w:rsidRPr="005A5649">
        <w:rPr>
          <w:rFonts w:cs="Calibri"/>
          <w:bCs/>
        </w:rPr>
        <w:t xml:space="preserve"> &gt; </w:t>
      </w:r>
      <w:proofErr w:type="spellStart"/>
      <w:r w:rsidRPr="005A5649">
        <w:rPr>
          <w:rFonts w:cs="Calibri"/>
          <w:bCs/>
        </w:rPr>
        <w:t>f</w:t>
      </w:r>
      <w:r w:rsidRPr="00CC7BD6">
        <w:rPr>
          <w:rFonts w:cs="Calibri"/>
          <w:bCs/>
          <w:vertAlign w:val="subscript"/>
        </w:rPr>
        <w:t>ck</w:t>
      </w:r>
      <w:proofErr w:type="spellEnd"/>
      <w:r w:rsidRPr="005A5649">
        <w:rPr>
          <w:rFonts w:cs="Calibri"/>
          <w:bCs/>
        </w:rPr>
        <w:t xml:space="preserve"> + 6 [</w:t>
      </w:r>
      <w:proofErr w:type="spellStart"/>
      <w:r w:rsidRPr="005A5649">
        <w:rPr>
          <w:rFonts w:cs="Calibri"/>
          <w:bCs/>
        </w:rPr>
        <w:t>MPa</w:t>
      </w:r>
      <w:proofErr w:type="spellEnd"/>
      <w:r w:rsidRPr="005A5649">
        <w:rPr>
          <w:rFonts w:cs="Calibri"/>
          <w:bCs/>
        </w:rPr>
        <w:t>]</w:t>
      </w:r>
    </w:p>
    <w:p w14:paraId="19241DBC" w14:textId="77777777" w:rsidR="005A5649" w:rsidRPr="005A5649" w:rsidRDefault="005A5649" w:rsidP="00CC7BD6">
      <w:pPr>
        <w:spacing w:after="0"/>
        <w:ind w:left="1416" w:firstLine="708"/>
        <w:jc w:val="both"/>
        <w:rPr>
          <w:rFonts w:cs="Calibri"/>
          <w:bCs/>
        </w:rPr>
      </w:pPr>
      <w:proofErr w:type="spellStart"/>
      <w:r w:rsidRPr="005A5649">
        <w:rPr>
          <w:rFonts w:cs="Calibri"/>
          <w:bCs/>
        </w:rPr>
        <w:t>f</w:t>
      </w:r>
      <w:r w:rsidRPr="00CC7BD6">
        <w:rPr>
          <w:rFonts w:cs="Calibri"/>
          <w:bCs/>
          <w:vertAlign w:val="subscript"/>
        </w:rPr>
        <w:t>cm</w:t>
      </w:r>
      <w:proofErr w:type="spellEnd"/>
      <w:r w:rsidRPr="005A5649">
        <w:rPr>
          <w:rFonts w:cs="Calibri"/>
          <w:bCs/>
        </w:rPr>
        <w:t xml:space="preserve"> – średnia wytrzymałość betonu na ściskanie</w:t>
      </w:r>
    </w:p>
    <w:p w14:paraId="65D3AABA" w14:textId="19956B79" w:rsidR="00594B84" w:rsidRDefault="005A5649" w:rsidP="00CC7BD6">
      <w:pPr>
        <w:spacing w:after="0"/>
        <w:ind w:left="2124"/>
        <w:jc w:val="both"/>
        <w:rPr>
          <w:rFonts w:cs="Calibri"/>
          <w:bCs/>
        </w:rPr>
      </w:pPr>
      <w:proofErr w:type="spellStart"/>
      <w:r w:rsidRPr="005A5649">
        <w:rPr>
          <w:rFonts w:cs="Calibri"/>
          <w:bCs/>
        </w:rPr>
        <w:t>f</w:t>
      </w:r>
      <w:r w:rsidRPr="00CC7BD6">
        <w:rPr>
          <w:rFonts w:cs="Calibri"/>
          <w:bCs/>
          <w:vertAlign w:val="subscript"/>
        </w:rPr>
        <w:t>ck</w:t>
      </w:r>
      <w:proofErr w:type="spellEnd"/>
      <w:r w:rsidRPr="005A5649">
        <w:rPr>
          <w:rFonts w:cs="Calibri"/>
          <w:bCs/>
        </w:rPr>
        <w:t xml:space="preserve"> – wytrzymałość charakterystyczna betonu na ściskanie oznaczona na próbkach sześciennych</w:t>
      </w:r>
    </w:p>
    <w:p w14:paraId="35381EDA" w14:textId="77777777" w:rsidR="00BF700E" w:rsidRPr="00BF700E" w:rsidRDefault="00BF700E" w:rsidP="00DC5CA3">
      <w:pPr>
        <w:pStyle w:val="Akapitzlist"/>
        <w:numPr>
          <w:ilvl w:val="1"/>
          <w:numId w:val="1"/>
        </w:numPr>
        <w:spacing w:after="0"/>
        <w:jc w:val="both"/>
        <w:rPr>
          <w:rFonts w:cs="Calibri"/>
          <w:b/>
          <w:bCs/>
        </w:rPr>
      </w:pPr>
      <w:r w:rsidRPr="00BF700E">
        <w:rPr>
          <w:rFonts w:cs="Calibri"/>
          <w:b/>
          <w:bCs/>
        </w:rPr>
        <w:t>Drut montażowy.</w:t>
      </w:r>
    </w:p>
    <w:p w14:paraId="450472FA" w14:textId="77777777" w:rsidR="00BF700E" w:rsidRPr="00BF700E" w:rsidRDefault="00BF700E" w:rsidP="00BF700E">
      <w:pPr>
        <w:spacing w:after="0"/>
        <w:jc w:val="both"/>
        <w:rPr>
          <w:rFonts w:cs="Calibri"/>
          <w:bCs/>
        </w:rPr>
      </w:pPr>
      <w:r w:rsidRPr="00BF700E">
        <w:rPr>
          <w:rFonts w:cs="Calibri"/>
          <w:bCs/>
        </w:rPr>
        <w:t xml:space="preserve">Do montażu prętów zbrojenia należy używać wyżarzonego drutu stalowego, tzw. </w:t>
      </w:r>
      <w:proofErr w:type="spellStart"/>
      <w:r w:rsidRPr="00BF700E">
        <w:rPr>
          <w:rFonts w:cs="Calibri"/>
          <w:bCs/>
        </w:rPr>
        <w:t>wiązałkowego</w:t>
      </w:r>
      <w:proofErr w:type="spellEnd"/>
      <w:r w:rsidRPr="00BF700E">
        <w:rPr>
          <w:rFonts w:cs="Calibri"/>
          <w:bCs/>
        </w:rPr>
        <w:t>.</w:t>
      </w:r>
    </w:p>
    <w:p w14:paraId="56BBBC3B" w14:textId="77777777" w:rsidR="00BF700E" w:rsidRPr="00BF700E" w:rsidRDefault="00BF700E" w:rsidP="00DC5CA3">
      <w:pPr>
        <w:pStyle w:val="Akapitzlist"/>
        <w:numPr>
          <w:ilvl w:val="1"/>
          <w:numId w:val="1"/>
        </w:numPr>
        <w:spacing w:after="0"/>
        <w:jc w:val="both"/>
        <w:rPr>
          <w:rFonts w:cs="Calibri"/>
          <w:b/>
          <w:bCs/>
        </w:rPr>
      </w:pPr>
      <w:r w:rsidRPr="00BF700E">
        <w:rPr>
          <w:rFonts w:cs="Calibri"/>
          <w:b/>
          <w:bCs/>
        </w:rPr>
        <w:t>Podkładki dystansowe.</w:t>
      </w:r>
    </w:p>
    <w:p w14:paraId="7B311459" w14:textId="77777777" w:rsidR="00BF700E" w:rsidRPr="00BF700E" w:rsidRDefault="00BF700E" w:rsidP="00BF700E">
      <w:pPr>
        <w:spacing w:after="0"/>
        <w:jc w:val="both"/>
        <w:rPr>
          <w:rFonts w:cs="Calibri"/>
          <w:bCs/>
        </w:rPr>
      </w:pPr>
      <w:r w:rsidRPr="00BF700E">
        <w:rPr>
          <w:rFonts w:cs="Calibri"/>
          <w:bCs/>
        </w:rPr>
        <w:t>Dopuszcza się, stosowanie stabilizatorów i podkładek dystansowych wyłącznie z betonu.</w:t>
      </w:r>
    </w:p>
    <w:p w14:paraId="24E69045" w14:textId="6A7F82A3" w:rsidR="001B0F4C" w:rsidRDefault="00BF700E" w:rsidP="00BF700E">
      <w:pPr>
        <w:spacing w:after="0"/>
        <w:jc w:val="both"/>
        <w:rPr>
          <w:rFonts w:cs="Calibri"/>
          <w:bCs/>
        </w:rPr>
      </w:pPr>
      <w:r w:rsidRPr="00BF700E">
        <w:rPr>
          <w:rFonts w:cs="Calibri"/>
          <w:bCs/>
        </w:rPr>
        <w:t>Podkładki dystansowe muszą być przymocowane do prętów.</w:t>
      </w:r>
    </w:p>
    <w:p w14:paraId="38C395E2" w14:textId="4A61943A" w:rsidR="00CC7BD6" w:rsidRDefault="00CC7BD6" w:rsidP="00BF700E">
      <w:pPr>
        <w:spacing w:after="0"/>
        <w:jc w:val="both"/>
        <w:rPr>
          <w:rFonts w:cs="Calibri"/>
          <w:bCs/>
        </w:rPr>
      </w:pPr>
      <w:r w:rsidRPr="00CC7BD6">
        <w:rPr>
          <w:rFonts w:cs="Calibri"/>
          <w:bCs/>
        </w:rPr>
        <w:t xml:space="preserve">Podkładki i przekładki powinny odpowiednie do przewidzianej otuliny zbrojenia. Zaleca się aby betonowe i cementowe przekładki miały tę samą wytrzymałość co beton w konstrukcji oraz zapewniały co najmniej taką samą odporność na korozję jak otaczający je beton. </w:t>
      </w:r>
    </w:p>
    <w:p w14:paraId="3C397D4F" w14:textId="77777777" w:rsidR="00BF700E" w:rsidRDefault="00BF700E" w:rsidP="00BF700E">
      <w:pPr>
        <w:spacing w:after="0"/>
        <w:jc w:val="both"/>
        <w:rPr>
          <w:rFonts w:cs="Calibri"/>
          <w:bCs/>
        </w:rPr>
      </w:pPr>
    </w:p>
    <w:p w14:paraId="04891C2A" w14:textId="77777777" w:rsidR="00BF700E" w:rsidRPr="00BF700E" w:rsidRDefault="00BF700E" w:rsidP="00DC5CA3">
      <w:pPr>
        <w:pStyle w:val="Akapitzlist"/>
        <w:numPr>
          <w:ilvl w:val="0"/>
          <w:numId w:val="1"/>
        </w:numPr>
        <w:spacing w:after="0"/>
        <w:jc w:val="both"/>
        <w:rPr>
          <w:rFonts w:cs="Calibri"/>
          <w:b/>
          <w:bCs/>
        </w:rPr>
      </w:pPr>
      <w:r w:rsidRPr="00BF700E">
        <w:rPr>
          <w:rFonts w:cs="Calibri"/>
          <w:b/>
          <w:bCs/>
        </w:rPr>
        <w:t>SPRZĘT</w:t>
      </w:r>
    </w:p>
    <w:p w14:paraId="1B0A3048" w14:textId="77777777" w:rsidR="00BE1F78" w:rsidRDefault="00BF700E" w:rsidP="001B0F4C">
      <w:pPr>
        <w:spacing w:after="0"/>
        <w:jc w:val="both"/>
        <w:rPr>
          <w:rFonts w:cs="Calibri"/>
          <w:bCs/>
        </w:rPr>
      </w:pPr>
      <w:r w:rsidRPr="00BF700E">
        <w:rPr>
          <w:rFonts w:cs="Calibri"/>
          <w:bCs/>
        </w:rPr>
        <w:t>Roboty można wykonywać przy użyciu dowolnego typu sprzętu zaakceptowanego przez inspektora nadzoru.</w:t>
      </w:r>
    </w:p>
    <w:p w14:paraId="623E984F" w14:textId="77777777" w:rsidR="00BE1F78" w:rsidRPr="00BE1F78" w:rsidRDefault="00BE1F78" w:rsidP="00DC5CA3">
      <w:pPr>
        <w:pStyle w:val="Akapitzlist"/>
        <w:numPr>
          <w:ilvl w:val="1"/>
          <w:numId w:val="1"/>
        </w:numPr>
        <w:spacing w:after="0"/>
        <w:jc w:val="both"/>
        <w:rPr>
          <w:rFonts w:cs="Calibri"/>
          <w:b/>
          <w:bCs/>
        </w:rPr>
      </w:pPr>
      <w:r w:rsidRPr="00BE1F78">
        <w:rPr>
          <w:rFonts w:cs="Calibri"/>
          <w:b/>
          <w:bCs/>
        </w:rPr>
        <w:t>Przygotowanie mieszanki betonowej i układanie</w:t>
      </w:r>
    </w:p>
    <w:p w14:paraId="1665FF52" w14:textId="3420062B" w:rsidR="001B0F4C" w:rsidRDefault="00BF700E" w:rsidP="001B0F4C">
      <w:pPr>
        <w:spacing w:after="0"/>
        <w:jc w:val="both"/>
        <w:rPr>
          <w:rFonts w:cs="Calibri"/>
          <w:bCs/>
        </w:rPr>
      </w:pPr>
      <w:r w:rsidRPr="00BF700E">
        <w:rPr>
          <w:rFonts w:cs="Calibri"/>
          <w:bCs/>
        </w:rPr>
        <w:t xml:space="preserve">Dozatory muszą mieć odpowiednie, aktualne  świadectwo legalizacji. Mieszanie składników powinno się odbywać wyłącznie w betoniarkach o wymuszonym działaniu (zabrania się stosowania mieszarek </w:t>
      </w:r>
      <w:proofErr w:type="spellStart"/>
      <w:r w:rsidRPr="00BF700E">
        <w:rPr>
          <w:rFonts w:cs="Calibri"/>
          <w:bCs/>
        </w:rPr>
        <w:t>wolnospadowych</w:t>
      </w:r>
      <w:proofErr w:type="spellEnd"/>
      <w:r w:rsidRPr="00BF700E">
        <w:rPr>
          <w:rFonts w:cs="Calibri"/>
          <w:bCs/>
        </w:rPr>
        <w:t>). Do podawania mieszanek należy stosować pojemniki lub pompy przystosowane do podawania mieszanek plastycznych. Do zagęszczania mieszanki betonowej należy stosować wibratory z buławami o średnicy nie większej niż od 0,65 odległości między prętami zbrojenia leżącymi w płaszczyźnie poziomej, o częstotliwości 6000 drgań/min i łaty wibracyjne charakteryzujące się jednakowymi drganiami na całej długości. Sprzęt używany do przygotowywania betonu powinien być sprawny oraz posiadać fabryczną gwarancję i instrukcję obsługi. Sprzęt powinien spełniać wymagania BHP, jak przykładowo osłony zębatych i pasowych urządzeń mechanicznych. Miejsca lub elementy szczególnie niebezpieczne powinny być specjalnie oznaczone. Sprzęt powinien podlegać kontroli osoby odpowiedzialnej za BHP na budowie. Osoby obsługujące poszczególne maszyny lub urządzenia powinny odpowiednio wcześniej być przeszkolone.</w:t>
      </w:r>
    </w:p>
    <w:p w14:paraId="6200A07D" w14:textId="77777777" w:rsidR="001B0F4C" w:rsidRDefault="001B0F4C" w:rsidP="001B0F4C">
      <w:pPr>
        <w:spacing w:after="0"/>
        <w:jc w:val="both"/>
        <w:rPr>
          <w:rFonts w:cs="Calibri"/>
          <w:bCs/>
        </w:rPr>
      </w:pPr>
    </w:p>
    <w:p w14:paraId="4D19C1FD" w14:textId="77777777" w:rsidR="001B0F4C" w:rsidRDefault="006E4CD1" w:rsidP="00DC5CA3">
      <w:pPr>
        <w:pStyle w:val="Akapitzlist"/>
        <w:numPr>
          <w:ilvl w:val="0"/>
          <w:numId w:val="1"/>
        </w:numPr>
        <w:spacing w:after="0"/>
        <w:jc w:val="both"/>
        <w:rPr>
          <w:rFonts w:cs="Calibri"/>
          <w:b/>
          <w:bCs/>
        </w:rPr>
      </w:pPr>
      <w:r w:rsidRPr="006E4CD1">
        <w:rPr>
          <w:rFonts w:cs="Calibri"/>
          <w:b/>
          <w:bCs/>
        </w:rPr>
        <w:t>TRANSPORT</w:t>
      </w:r>
    </w:p>
    <w:p w14:paraId="7033D3EF" w14:textId="77777777" w:rsidR="006E4CD1" w:rsidRPr="006E4CD1" w:rsidRDefault="006E4CD1" w:rsidP="006E4CD1">
      <w:pPr>
        <w:spacing w:after="0"/>
        <w:jc w:val="both"/>
        <w:rPr>
          <w:rFonts w:cs="Calibri"/>
          <w:bCs/>
        </w:rPr>
      </w:pPr>
      <w:r w:rsidRPr="006E4CD1">
        <w:rPr>
          <w:rFonts w:cs="Calibri"/>
          <w:bCs/>
        </w:rPr>
        <w:t>Na budowie zastosowane będą różnego rodzaju środki transportu materiałów:</w:t>
      </w:r>
    </w:p>
    <w:p w14:paraId="0F566D8A" w14:textId="77777777" w:rsidR="006E4CD1" w:rsidRPr="006E4CD1" w:rsidRDefault="006E4CD1" w:rsidP="006E4CD1">
      <w:pPr>
        <w:spacing w:after="0"/>
        <w:jc w:val="both"/>
        <w:rPr>
          <w:rFonts w:cs="Calibri"/>
          <w:bCs/>
        </w:rPr>
      </w:pPr>
      <w:r w:rsidRPr="006E4CD1">
        <w:rPr>
          <w:rFonts w:cs="Calibri"/>
          <w:bCs/>
        </w:rPr>
        <w:lastRenderedPageBreak/>
        <w:t>•</w:t>
      </w:r>
      <w:r w:rsidRPr="006E4CD1">
        <w:rPr>
          <w:rFonts w:cs="Calibri"/>
          <w:bCs/>
        </w:rPr>
        <w:tab/>
        <w:t>stacjonarne tj.: dźwigi i podnośniki przyścienne,</w:t>
      </w:r>
    </w:p>
    <w:p w14:paraId="01B50866" w14:textId="77777777" w:rsidR="006E4CD1" w:rsidRPr="006E4CD1" w:rsidRDefault="006E4CD1" w:rsidP="006E4CD1">
      <w:pPr>
        <w:spacing w:after="0"/>
        <w:jc w:val="both"/>
        <w:rPr>
          <w:rFonts w:cs="Calibri"/>
          <w:bCs/>
        </w:rPr>
      </w:pPr>
      <w:r w:rsidRPr="006E4CD1">
        <w:rPr>
          <w:rFonts w:cs="Calibri"/>
          <w:bCs/>
        </w:rPr>
        <w:t>•</w:t>
      </w:r>
      <w:r w:rsidRPr="006E4CD1">
        <w:rPr>
          <w:rFonts w:cs="Calibri"/>
          <w:bCs/>
        </w:rPr>
        <w:tab/>
        <w:t>przestawne tj.: głównie przenośniki taśmowe</w:t>
      </w:r>
    </w:p>
    <w:p w14:paraId="190FEC8D" w14:textId="77777777" w:rsidR="006E4CD1" w:rsidRPr="006E4CD1" w:rsidRDefault="006E4CD1" w:rsidP="006E4CD1">
      <w:pPr>
        <w:spacing w:after="0"/>
        <w:jc w:val="both"/>
        <w:rPr>
          <w:rFonts w:cs="Calibri"/>
          <w:bCs/>
        </w:rPr>
      </w:pPr>
      <w:r w:rsidRPr="006E4CD1">
        <w:rPr>
          <w:rFonts w:cs="Calibri"/>
          <w:bCs/>
        </w:rPr>
        <w:t>•</w:t>
      </w:r>
      <w:r w:rsidRPr="006E4CD1">
        <w:rPr>
          <w:rFonts w:cs="Calibri"/>
          <w:bCs/>
        </w:rPr>
        <w:tab/>
        <w:t>ruchome tj.: koparki przedsiębierne, pompy do betonu, betoniarki-gruszki</w:t>
      </w:r>
    </w:p>
    <w:p w14:paraId="12F2993F" w14:textId="4B997497" w:rsidR="006E4CD1" w:rsidRDefault="006E4CD1" w:rsidP="006E4CD1">
      <w:pPr>
        <w:spacing w:after="0"/>
        <w:jc w:val="both"/>
        <w:rPr>
          <w:rFonts w:cs="Calibri"/>
          <w:bCs/>
        </w:rPr>
      </w:pPr>
      <w:r w:rsidRPr="006E4CD1">
        <w:rPr>
          <w:rFonts w:cs="Calibri"/>
          <w:bCs/>
        </w:rPr>
        <w:t>Środki transportu muszą spełniać wymagania podane w normach i przepisach branżowych. Ilość i pojemność jednostek musi być dostosowana do przyjętej technologii wykonawczej. Samochody samowyładowcze, wywrotki itp. Odwiezienie drewna, złomu, i gruzu na odpowiednie składowiska celem utylizacji. Nie należy używać gruzu do ponownego zużycia w podłożu nawierzchni utwardzonych. Transport drewna do fumigacji.</w:t>
      </w:r>
    </w:p>
    <w:p w14:paraId="591A9DF2" w14:textId="77777777" w:rsidR="001A49A6" w:rsidRPr="006E4CD1" w:rsidRDefault="001A49A6" w:rsidP="006E4CD1">
      <w:pPr>
        <w:spacing w:after="0"/>
        <w:jc w:val="both"/>
        <w:rPr>
          <w:rFonts w:cs="Calibri"/>
          <w:bCs/>
        </w:rPr>
      </w:pPr>
    </w:p>
    <w:p w14:paraId="63D2441D" w14:textId="77777777" w:rsidR="006E4CD1" w:rsidRPr="006E4CD1" w:rsidRDefault="006E4CD1" w:rsidP="00DC5CA3">
      <w:pPr>
        <w:pStyle w:val="Akapitzlist"/>
        <w:numPr>
          <w:ilvl w:val="1"/>
          <w:numId w:val="1"/>
        </w:numPr>
        <w:spacing w:after="0"/>
        <w:jc w:val="both"/>
        <w:rPr>
          <w:rFonts w:cs="Calibri"/>
          <w:b/>
          <w:bCs/>
        </w:rPr>
      </w:pPr>
      <w:r w:rsidRPr="006E4CD1">
        <w:rPr>
          <w:rFonts w:cs="Calibri"/>
          <w:b/>
          <w:bCs/>
        </w:rPr>
        <w:t>Mieszanka betonowa</w:t>
      </w:r>
    </w:p>
    <w:p w14:paraId="148C0805" w14:textId="77777777" w:rsidR="006E4CD1" w:rsidRPr="006E4CD1" w:rsidRDefault="006E4CD1" w:rsidP="006E4CD1">
      <w:pPr>
        <w:spacing w:after="0"/>
        <w:jc w:val="both"/>
        <w:rPr>
          <w:rFonts w:cs="Calibri"/>
          <w:bCs/>
        </w:rPr>
      </w:pPr>
      <w:r w:rsidRPr="006E4CD1">
        <w:rPr>
          <w:rFonts w:cs="Calibri"/>
          <w:bCs/>
        </w:rPr>
        <w:t>Transport, podawanie i układanie mieszanki betonowej.</w:t>
      </w:r>
    </w:p>
    <w:p w14:paraId="5B1C687A" w14:textId="6D2A25A0" w:rsidR="006E4CD1" w:rsidRPr="006E4CD1" w:rsidRDefault="006E4CD1" w:rsidP="006E4CD1">
      <w:pPr>
        <w:spacing w:after="0"/>
        <w:jc w:val="both"/>
        <w:rPr>
          <w:rFonts w:cs="Calibri"/>
          <w:bCs/>
        </w:rPr>
      </w:pPr>
      <w:r w:rsidRPr="006E4CD1">
        <w:rPr>
          <w:rFonts w:cs="Calibri"/>
          <w:bCs/>
        </w:rPr>
        <w:t>Mieszanki betonowe mogą być transportowane mieszalnikami samochodowymi (tzw. gruszkami). Ilość „gruszek" należy dobrać tak aby zapewnić wymaganą szybkość betonowania z uwzględnieniem odległości dowozu, czasu twardnienia betonu oraz koniecznej rezerwy w przypadku awarii samochodu.</w:t>
      </w:r>
    </w:p>
    <w:p w14:paraId="6BE10727" w14:textId="77777777" w:rsidR="006E4CD1" w:rsidRPr="006E4CD1" w:rsidRDefault="006E4CD1" w:rsidP="006E4CD1">
      <w:pPr>
        <w:spacing w:after="0"/>
        <w:jc w:val="both"/>
        <w:rPr>
          <w:rFonts w:cs="Calibri"/>
          <w:bCs/>
        </w:rPr>
      </w:pPr>
      <w:r w:rsidRPr="006E4CD1">
        <w:rPr>
          <w:rFonts w:cs="Calibri"/>
          <w:bCs/>
        </w:rPr>
        <w:t>Czas transportu i wbudowania.</w:t>
      </w:r>
    </w:p>
    <w:p w14:paraId="32DC6685" w14:textId="77777777" w:rsidR="006E4CD1" w:rsidRPr="006E4CD1" w:rsidRDefault="006E4CD1" w:rsidP="006E4CD1">
      <w:pPr>
        <w:spacing w:after="0"/>
        <w:jc w:val="both"/>
        <w:rPr>
          <w:rFonts w:cs="Calibri"/>
          <w:bCs/>
        </w:rPr>
      </w:pPr>
      <w:r w:rsidRPr="006E4CD1">
        <w:rPr>
          <w:rFonts w:cs="Calibri"/>
          <w:bCs/>
        </w:rPr>
        <w:t>Czas transportu i wbudowania mieszanki nie powinien być dłuższy niż: 90 minut przy temperaturze otoczenia + 15°C 70 minut przy temperaturze otoczenia + 20°C 30 minut przy temperaturze otoczenia + 30°C</w:t>
      </w:r>
    </w:p>
    <w:p w14:paraId="4C55BFD4" w14:textId="77777777" w:rsidR="006E4CD1" w:rsidRDefault="006E4CD1" w:rsidP="006E4CD1">
      <w:pPr>
        <w:spacing w:after="0"/>
        <w:jc w:val="both"/>
        <w:rPr>
          <w:rFonts w:cs="Calibri"/>
          <w:bCs/>
        </w:rPr>
      </w:pPr>
      <w:r w:rsidRPr="006E4CD1">
        <w:rPr>
          <w:rFonts w:cs="Calibri"/>
          <w:bCs/>
        </w:rPr>
        <w:t xml:space="preserve">Podawanie i układanie mieszanki betonowej można wykonać przy pomocy pompy do betonu lub innych środków zaakceptowanych przez inspektora nadzoru. </w:t>
      </w:r>
    </w:p>
    <w:p w14:paraId="10ACF4BF" w14:textId="77777777" w:rsidR="006E4CD1" w:rsidRPr="006E4CD1" w:rsidRDefault="006E4CD1" w:rsidP="00DC5CA3">
      <w:pPr>
        <w:pStyle w:val="Akapitzlist"/>
        <w:numPr>
          <w:ilvl w:val="1"/>
          <w:numId w:val="1"/>
        </w:numPr>
        <w:spacing w:after="0"/>
        <w:jc w:val="both"/>
        <w:rPr>
          <w:rFonts w:cs="Calibri"/>
          <w:b/>
          <w:bCs/>
        </w:rPr>
      </w:pPr>
      <w:r w:rsidRPr="006E4CD1">
        <w:rPr>
          <w:rFonts w:cs="Calibri"/>
          <w:b/>
          <w:bCs/>
        </w:rPr>
        <w:t>Cement</w:t>
      </w:r>
    </w:p>
    <w:p w14:paraId="5635F6DD" w14:textId="77777777" w:rsidR="007C618B" w:rsidRPr="007C618B" w:rsidRDefault="007C618B" w:rsidP="007C618B">
      <w:pPr>
        <w:spacing w:after="0"/>
        <w:jc w:val="both"/>
        <w:rPr>
          <w:rFonts w:cs="Calibri"/>
          <w:bCs/>
        </w:rPr>
      </w:pPr>
      <w:r w:rsidRPr="007C618B">
        <w:rPr>
          <w:rFonts w:cs="Calibri"/>
          <w:bCs/>
        </w:rPr>
        <w:t xml:space="preserve">Dla cementu luzem należy stosować cementowagony i </w:t>
      </w:r>
      <w:proofErr w:type="spellStart"/>
      <w:r w:rsidRPr="007C618B">
        <w:rPr>
          <w:rFonts w:cs="Calibri"/>
          <w:bCs/>
        </w:rPr>
        <w:t>cementosomochody</w:t>
      </w:r>
      <w:proofErr w:type="spellEnd"/>
      <w:r w:rsidRPr="007C618B">
        <w:rPr>
          <w:rFonts w:cs="Calibri"/>
          <w:bCs/>
        </w:rPr>
        <w:t xml:space="preserve"> wyposażone we wsypy umożliwiające grawitacyjne napełnianie zbiorników i urządzenie do wyładowania cementu oraz powinny być przystosowane do plombowania i wsypów i wysypów.</w:t>
      </w:r>
    </w:p>
    <w:p w14:paraId="6F4C4DF4" w14:textId="77777777" w:rsidR="007C618B" w:rsidRPr="007C618B" w:rsidRDefault="007C618B" w:rsidP="007C618B">
      <w:pPr>
        <w:spacing w:after="0"/>
        <w:jc w:val="both"/>
        <w:rPr>
          <w:rFonts w:cs="Calibri"/>
          <w:bCs/>
        </w:rPr>
      </w:pPr>
      <w:r w:rsidRPr="007C618B">
        <w:rPr>
          <w:rFonts w:cs="Calibri"/>
          <w:bCs/>
        </w:rPr>
        <w:t>d) Świadectwo jakości cementu</w:t>
      </w:r>
    </w:p>
    <w:p w14:paraId="5D578964" w14:textId="04F26DBB" w:rsidR="007C618B" w:rsidRPr="007C618B" w:rsidRDefault="007C618B" w:rsidP="007C618B">
      <w:pPr>
        <w:spacing w:after="0"/>
        <w:jc w:val="both"/>
        <w:rPr>
          <w:rFonts w:cs="Calibri"/>
          <w:bCs/>
        </w:rPr>
      </w:pPr>
      <w:r w:rsidRPr="007C618B">
        <w:rPr>
          <w:rFonts w:cs="Calibri"/>
          <w:bCs/>
        </w:rPr>
        <w:t>Każda partia wysyłanego cementu powinna być zaopatrzona w sygnaturę odbiorczą kontroli jakości.</w:t>
      </w:r>
    </w:p>
    <w:p w14:paraId="023EB5FF" w14:textId="77777777" w:rsidR="007C618B" w:rsidRPr="007C618B" w:rsidRDefault="007C618B" w:rsidP="007C618B">
      <w:pPr>
        <w:spacing w:after="0"/>
        <w:jc w:val="both"/>
        <w:rPr>
          <w:rFonts w:cs="Calibri"/>
          <w:bCs/>
        </w:rPr>
      </w:pPr>
      <w:r w:rsidRPr="007C618B">
        <w:rPr>
          <w:rFonts w:cs="Calibri"/>
          <w:bCs/>
        </w:rPr>
        <w:t>c) Akceptowanie poszczególnych partii cementu</w:t>
      </w:r>
    </w:p>
    <w:p w14:paraId="3AD8A3FF" w14:textId="77777777" w:rsidR="007C618B" w:rsidRPr="007C618B" w:rsidRDefault="007C618B" w:rsidP="007C618B">
      <w:pPr>
        <w:spacing w:after="0"/>
        <w:jc w:val="both"/>
        <w:rPr>
          <w:rFonts w:cs="Calibri"/>
          <w:bCs/>
        </w:rPr>
      </w:pPr>
      <w:r w:rsidRPr="007C618B">
        <w:rPr>
          <w:rFonts w:cs="Calibri"/>
          <w:bCs/>
        </w:rPr>
        <w:t>Każda partia cementu przed jej użyciem do betonu musi uzyskać akceptację Inżyniera.</w:t>
      </w:r>
    </w:p>
    <w:p w14:paraId="2418357F" w14:textId="77777777" w:rsidR="007C618B" w:rsidRPr="007C618B" w:rsidRDefault="007C618B" w:rsidP="007C618B">
      <w:pPr>
        <w:spacing w:after="0"/>
        <w:jc w:val="both"/>
        <w:rPr>
          <w:rFonts w:cs="Calibri"/>
          <w:bCs/>
        </w:rPr>
      </w:pPr>
      <w:r w:rsidRPr="007C618B">
        <w:rPr>
          <w:rFonts w:cs="Calibri"/>
          <w:bCs/>
        </w:rPr>
        <w:t>f)  Bieżąca kontrola podstawowych parametrów cementu.</w:t>
      </w:r>
    </w:p>
    <w:p w14:paraId="4FC91B08" w14:textId="6368431F" w:rsidR="007C618B" w:rsidRPr="007C618B" w:rsidRDefault="007C618B" w:rsidP="007C618B">
      <w:pPr>
        <w:spacing w:after="0"/>
        <w:jc w:val="both"/>
        <w:rPr>
          <w:rFonts w:cs="Calibri"/>
          <w:bCs/>
        </w:rPr>
      </w:pPr>
      <w:r w:rsidRPr="007C618B">
        <w:rPr>
          <w:rFonts w:cs="Calibri"/>
          <w:bCs/>
        </w:rPr>
        <w:t>-  Cement pochodzący z każdej dostawy musi być poddany badaniom.</w:t>
      </w:r>
    </w:p>
    <w:p w14:paraId="711EF033" w14:textId="77777777" w:rsidR="007C618B" w:rsidRPr="007C618B" w:rsidRDefault="007C618B" w:rsidP="007C618B">
      <w:pPr>
        <w:spacing w:after="0"/>
        <w:jc w:val="both"/>
        <w:rPr>
          <w:rFonts w:cs="Calibri"/>
          <w:bCs/>
        </w:rPr>
      </w:pPr>
      <w:r w:rsidRPr="007C618B">
        <w:rPr>
          <w:rFonts w:cs="Calibri"/>
          <w:bCs/>
        </w:rPr>
        <w:t>Zakres badań cementu pochodzącego z dostawy dla której jest atest z wynikami badań cementowni można wykonać tylko badania podstawowe.</w:t>
      </w:r>
    </w:p>
    <w:p w14:paraId="4AF1BCC1" w14:textId="77777777" w:rsidR="007C618B" w:rsidRPr="007C618B" w:rsidRDefault="007C618B" w:rsidP="007C618B">
      <w:pPr>
        <w:spacing w:after="0"/>
        <w:jc w:val="both"/>
        <w:rPr>
          <w:rFonts w:cs="Calibri"/>
          <w:bCs/>
        </w:rPr>
      </w:pPr>
      <w:r w:rsidRPr="007C618B">
        <w:rPr>
          <w:rFonts w:cs="Calibri"/>
          <w:bCs/>
        </w:rPr>
        <w:t>-  Ponadto przed użyciem cementu do wykonania mieszanki betonowej zaleca się przeprowadzenie kontroli obejmującej:</w:t>
      </w:r>
    </w:p>
    <w:p w14:paraId="36E30511" w14:textId="31E3F233" w:rsidR="007C618B" w:rsidRPr="007C618B" w:rsidRDefault="007C618B" w:rsidP="007C618B">
      <w:pPr>
        <w:spacing w:after="0"/>
        <w:jc w:val="both"/>
        <w:rPr>
          <w:rFonts w:cs="Calibri"/>
          <w:bCs/>
        </w:rPr>
      </w:pPr>
      <w:r w:rsidRPr="007C618B">
        <w:rPr>
          <w:rFonts w:cs="Calibri"/>
          <w:bCs/>
        </w:rPr>
        <w:t xml:space="preserve">-  oznaczenie czasu wiązania </w:t>
      </w:r>
    </w:p>
    <w:p w14:paraId="3E46258F" w14:textId="10CF64A0" w:rsidR="007C618B" w:rsidRPr="007C618B" w:rsidRDefault="007C618B" w:rsidP="007C618B">
      <w:pPr>
        <w:spacing w:after="0"/>
        <w:jc w:val="both"/>
        <w:rPr>
          <w:rFonts w:cs="Calibri"/>
          <w:bCs/>
        </w:rPr>
      </w:pPr>
      <w:r w:rsidRPr="007C618B">
        <w:rPr>
          <w:rFonts w:cs="Calibri"/>
          <w:bCs/>
        </w:rPr>
        <w:t xml:space="preserve">-  oznaczenie zmiany objętości </w:t>
      </w:r>
    </w:p>
    <w:p w14:paraId="241BA443" w14:textId="77777777" w:rsidR="007C618B" w:rsidRPr="007C618B" w:rsidRDefault="007C618B" w:rsidP="007C618B">
      <w:pPr>
        <w:spacing w:after="0"/>
        <w:jc w:val="both"/>
        <w:rPr>
          <w:rFonts w:cs="Calibri"/>
          <w:bCs/>
        </w:rPr>
      </w:pPr>
      <w:r w:rsidRPr="007C618B">
        <w:rPr>
          <w:rFonts w:cs="Calibri"/>
          <w:bCs/>
        </w:rPr>
        <w:t>-  sprawdzenie zawartości grudek (zbryleń) nie dających się rozgnieść w palcach i nie rozpadających się w wodzie.</w:t>
      </w:r>
    </w:p>
    <w:p w14:paraId="5379527D" w14:textId="77777777" w:rsidR="007C618B" w:rsidRPr="007C618B" w:rsidRDefault="007C618B" w:rsidP="007C618B">
      <w:pPr>
        <w:spacing w:after="0"/>
        <w:jc w:val="both"/>
        <w:rPr>
          <w:rFonts w:cs="Calibri"/>
          <w:bCs/>
        </w:rPr>
      </w:pPr>
      <w:r w:rsidRPr="007C618B">
        <w:rPr>
          <w:rFonts w:cs="Calibri"/>
          <w:bCs/>
        </w:rPr>
        <w:t>W przypadku gdy w/w kontrola wykaże niezgodność z normami cement nie może być użyty do betonu.</w:t>
      </w:r>
    </w:p>
    <w:p w14:paraId="705E6F6E" w14:textId="77777777" w:rsidR="007C618B" w:rsidRPr="007C618B" w:rsidRDefault="007C618B" w:rsidP="007C618B">
      <w:pPr>
        <w:spacing w:after="0"/>
        <w:jc w:val="both"/>
        <w:rPr>
          <w:rFonts w:cs="Calibri"/>
          <w:bCs/>
        </w:rPr>
      </w:pPr>
      <w:r w:rsidRPr="007C618B">
        <w:rPr>
          <w:rFonts w:cs="Calibri"/>
          <w:bCs/>
        </w:rPr>
        <w:t>g)  Magazynowanie i okres składowania</w:t>
      </w:r>
    </w:p>
    <w:p w14:paraId="71E5CFFC" w14:textId="77777777" w:rsidR="007C618B" w:rsidRPr="007C618B" w:rsidRDefault="007C618B" w:rsidP="007C618B">
      <w:pPr>
        <w:spacing w:after="0"/>
        <w:jc w:val="both"/>
        <w:rPr>
          <w:rFonts w:cs="Calibri"/>
          <w:bCs/>
        </w:rPr>
      </w:pPr>
      <w:r w:rsidRPr="007C618B">
        <w:rPr>
          <w:rFonts w:cs="Calibri"/>
          <w:bCs/>
        </w:rPr>
        <w:t>-  Miejsca przechowywania cementu mogą być następujące:</w:t>
      </w:r>
    </w:p>
    <w:p w14:paraId="1868EEA9" w14:textId="77777777" w:rsidR="007C618B" w:rsidRPr="007C618B" w:rsidRDefault="007C618B" w:rsidP="007C618B">
      <w:pPr>
        <w:spacing w:after="0"/>
        <w:jc w:val="both"/>
        <w:rPr>
          <w:rFonts w:cs="Calibri"/>
          <w:bCs/>
        </w:rPr>
      </w:pPr>
      <w:r w:rsidRPr="007C618B">
        <w:rPr>
          <w:rFonts w:cs="Calibri"/>
          <w:bCs/>
        </w:rPr>
        <w:t>-  dla cementu pakowanego (workowanego):</w:t>
      </w:r>
    </w:p>
    <w:p w14:paraId="0C988378" w14:textId="77777777" w:rsidR="007C618B" w:rsidRPr="007C618B" w:rsidRDefault="007C618B" w:rsidP="007C618B">
      <w:pPr>
        <w:spacing w:after="0"/>
        <w:jc w:val="both"/>
        <w:rPr>
          <w:rFonts w:cs="Calibri"/>
          <w:bCs/>
        </w:rPr>
      </w:pPr>
      <w:r w:rsidRPr="007C618B">
        <w:rPr>
          <w:rFonts w:cs="Calibri"/>
          <w:bCs/>
        </w:rPr>
        <w:lastRenderedPageBreak/>
        <w:t>składy otwarte (wydzielone miejsca zadaszone na otwartym terenie zabezpieczone z boków przed opadami) lub magazyny zamknięte (budynki lub pomieszczenia o szczelnym dachu i ścianach)</w:t>
      </w:r>
    </w:p>
    <w:p w14:paraId="51F83D4D" w14:textId="77777777" w:rsidR="007C618B" w:rsidRPr="007C618B" w:rsidRDefault="007C618B" w:rsidP="007C618B">
      <w:pPr>
        <w:spacing w:after="0"/>
        <w:jc w:val="both"/>
        <w:rPr>
          <w:rFonts w:cs="Calibri"/>
          <w:bCs/>
        </w:rPr>
      </w:pPr>
      <w:r w:rsidRPr="007C618B">
        <w:rPr>
          <w:rFonts w:cs="Calibri"/>
          <w:bCs/>
        </w:rPr>
        <w:t>-  dla cementu luzem:</w:t>
      </w:r>
    </w:p>
    <w:p w14:paraId="3B54A158" w14:textId="77777777" w:rsidR="007C618B" w:rsidRPr="007C618B" w:rsidRDefault="007C618B" w:rsidP="007C618B">
      <w:pPr>
        <w:spacing w:after="0"/>
        <w:jc w:val="both"/>
        <w:rPr>
          <w:rFonts w:cs="Calibri"/>
          <w:bCs/>
        </w:rPr>
      </w:pPr>
      <w:r w:rsidRPr="007C618B">
        <w:rPr>
          <w:rFonts w:cs="Calibri"/>
          <w:bCs/>
        </w:rPr>
        <w:t>- 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 zewnętrznych ścianach).</w:t>
      </w:r>
    </w:p>
    <w:p w14:paraId="38BE75CD" w14:textId="77777777" w:rsidR="007C618B" w:rsidRPr="007C618B" w:rsidRDefault="007C618B" w:rsidP="007C618B">
      <w:pPr>
        <w:spacing w:after="0"/>
        <w:jc w:val="both"/>
        <w:rPr>
          <w:rFonts w:cs="Calibri"/>
          <w:bCs/>
        </w:rPr>
      </w:pPr>
      <w:r w:rsidRPr="007C618B">
        <w:rPr>
          <w:rFonts w:cs="Calibri"/>
          <w:bCs/>
        </w:rPr>
        <w:t>-  Podłoża składów otwartych powinny być twarde i suche, odpowiednio pochylone, zabezpieczające cement przed ściekaniem wody deszczowej i zanieczyszczeniem.</w:t>
      </w:r>
    </w:p>
    <w:p w14:paraId="7DBA0239" w14:textId="77777777" w:rsidR="007C618B" w:rsidRPr="007C618B" w:rsidRDefault="007C618B" w:rsidP="007C618B">
      <w:pPr>
        <w:spacing w:after="0"/>
        <w:jc w:val="both"/>
        <w:rPr>
          <w:rFonts w:cs="Calibri"/>
          <w:bCs/>
        </w:rPr>
      </w:pPr>
      <w:r w:rsidRPr="007C618B">
        <w:rPr>
          <w:rFonts w:cs="Calibri"/>
          <w:bCs/>
        </w:rPr>
        <w:t>-  Podłogi magazynów zamkniętych powinny być suche i czyste, zabezpieczające cement przed zawilgoceniem i zanieczyszczeniem.</w:t>
      </w:r>
    </w:p>
    <w:p w14:paraId="63F45338" w14:textId="77777777" w:rsidR="007C618B" w:rsidRPr="007C618B" w:rsidRDefault="007C618B" w:rsidP="007C618B">
      <w:pPr>
        <w:spacing w:after="0"/>
        <w:jc w:val="both"/>
        <w:rPr>
          <w:rFonts w:cs="Calibri"/>
          <w:bCs/>
        </w:rPr>
      </w:pPr>
      <w:r w:rsidRPr="007C618B">
        <w:rPr>
          <w:rFonts w:cs="Calibri"/>
          <w:bCs/>
        </w:rPr>
        <w:t>-  Dopuszczalny okres przechowywania cementu zależny jest od miejsca przechowywania.</w:t>
      </w:r>
    </w:p>
    <w:p w14:paraId="2F2977C4" w14:textId="77777777" w:rsidR="007C618B" w:rsidRPr="007C618B" w:rsidRDefault="007C618B" w:rsidP="007C618B">
      <w:pPr>
        <w:spacing w:after="0"/>
        <w:jc w:val="both"/>
        <w:rPr>
          <w:rFonts w:cs="Calibri"/>
          <w:bCs/>
        </w:rPr>
      </w:pPr>
      <w:r w:rsidRPr="007C618B">
        <w:rPr>
          <w:rFonts w:cs="Calibri"/>
          <w:bCs/>
        </w:rPr>
        <w:t>Cement nie może być użyty do betonu po okresie:</w:t>
      </w:r>
    </w:p>
    <w:p w14:paraId="64E46DAC" w14:textId="77777777" w:rsidR="007C618B" w:rsidRPr="007C618B" w:rsidRDefault="007C618B" w:rsidP="007C618B">
      <w:pPr>
        <w:spacing w:after="0"/>
        <w:jc w:val="both"/>
        <w:rPr>
          <w:rFonts w:cs="Calibri"/>
          <w:bCs/>
        </w:rPr>
      </w:pPr>
      <w:r w:rsidRPr="007C618B">
        <w:rPr>
          <w:rFonts w:cs="Calibri"/>
          <w:bCs/>
        </w:rPr>
        <w:t>-   10 dni w przypadku przechowywania go w zadaszonych składach otwartych,</w:t>
      </w:r>
    </w:p>
    <w:p w14:paraId="2A5046AA" w14:textId="77777777" w:rsidR="007C618B" w:rsidRPr="007C618B" w:rsidRDefault="007C618B" w:rsidP="007C618B">
      <w:pPr>
        <w:spacing w:after="0"/>
        <w:jc w:val="both"/>
        <w:rPr>
          <w:rFonts w:cs="Calibri"/>
          <w:bCs/>
        </w:rPr>
      </w:pPr>
      <w:r w:rsidRPr="007C618B">
        <w:rPr>
          <w:rFonts w:cs="Calibri"/>
          <w:bCs/>
        </w:rPr>
        <w:t>-  po upływie okresu trwałości podanego przez wytwórcę w przypadku przechowywania w składach zamkniętych.</w:t>
      </w:r>
    </w:p>
    <w:p w14:paraId="64B39FCD" w14:textId="77777777" w:rsidR="007C618B" w:rsidRPr="007C618B" w:rsidRDefault="007C618B" w:rsidP="007C618B">
      <w:pPr>
        <w:spacing w:after="0"/>
        <w:jc w:val="both"/>
        <w:rPr>
          <w:rFonts w:cs="Calibri"/>
          <w:bCs/>
        </w:rPr>
      </w:pPr>
      <w:r w:rsidRPr="007C618B">
        <w:rPr>
          <w:rFonts w:cs="Calibri"/>
          <w:bCs/>
        </w:rPr>
        <w:t>-  Każda partia cementu posiadająca oddzielne świadectwo jakości powinno być przechowywana w sposób umożliwiający jej łatwe rozróżnienie.</w:t>
      </w:r>
    </w:p>
    <w:p w14:paraId="3CFDF967" w14:textId="77777777" w:rsidR="005A0AD9" w:rsidRDefault="005A0AD9" w:rsidP="007C618B">
      <w:pPr>
        <w:spacing w:after="0"/>
        <w:jc w:val="both"/>
        <w:rPr>
          <w:rFonts w:cs="Calibri"/>
          <w:bCs/>
        </w:rPr>
      </w:pPr>
    </w:p>
    <w:p w14:paraId="26C2D9CD" w14:textId="77777777" w:rsidR="00AC274D" w:rsidRPr="007C618B" w:rsidRDefault="00AC274D" w:rsidP="00DC5CA3">
      <w:pPr>
        <w:pStyle w:val="Akapitzlist"/>
        <w:numPr>
          <w:ilvl w:val="0"/>
          <w:numId w:val="1"/>
        </w:numPr>
        <w:spacing w:after="0"/>
        <w:jc w:val="both"/>
        <w:rPr>
          <w:rFonts w:cs="Calibri"/>
          <w:b/>
          <w:bCs/>
          <w:caps/>
        </w:rPr>
      </w:pPr>
      <w:r w:rsidRPr="007C618B">
        <w:rPr>
          <w:rFonts w:cs="Calibri"/>
          <w:b/>
          <w:bCs/>
          <w:caps/>
        </w:rPr>
        <w:t>Wymagania dotyczące wykonywania robót betonowych</w:t>
      </w:r>
      <w:r w:rsidR="008E1C3A">
        <w:rPr>
          <w:rFonts w:cs="Calibri"/>
          <w:b/>
          <w:bCs/>
          <w:caps/>
        </w:rPr>
        <w:t xml:space="preserve"> i żelbetowych</w:t>
      </w:r>
    </w:p>
    <w:p w14:paraId="1C2A467F" w14:textId="77777777" w:rsidR="00AC274D" w:rsidRPr="008A26E1" w:rsidRDefault="00AC274D" w:rsidP="00DC5CA3">
      <w:pPr>
        <w:pStyle w:val="Akapitzlist"/>
        <w:numPr>
          <w:ilvl w:val="1"/>
          <w:numId w:val="1"/>
        </w:numPr>
        <w:spacing w:after="0"/>
        <w:jc w:val="both"/>
        <w:rPr>
          <w:rFonts w:cs="Calibri"/>
          <w:b/>
          <w:bCs/>
        </w:rPr>
      </w:pPr>
      <w:r w:rsidRPr="008A26E1">
        <w:rPr>
          <w:rFonts w:cs="Calibri"/>
          <w:b/>
          <w:bCs/>
        </w:rPr>
        <w:t>Ogólne wymagania</w:t>
      </w:r>
    </w:p>
    <w:p w14:paraId="1CDF3262" w14:textId="77777777" w:rsidR="00AC274D" w:rsidRDefault="00AC274D" w:rsidP="00AC274D">
      <w:pPr>
        <w:spacing w:after="0"/>
        <w:jc w:val="both"/>
        <w:rPr>
          <w:rFonts w:cs="Calibri"/>
          <w:bCs/>
        </w:rPr>
      </w:pPr>
      <w:r w:rsidRPr="008A26E1">
        <w:rPr>
          <w:rFonts w:cs="Calibri"/>
          <w:bCs/>
        </w:rPr>
        <w:t>Wykonawca jest odpowiedzialny za prowadzenie robót zgodnie z wymaganiami obowiązujących PN i EN-PN</w:t>
      </w:r>
      <w:r>
        <w:rPr>
          <w:rFonts w:cs="Calibri"/>
          <w:bCs/>
        </w:rPr>
        <w:t xml:space="preserve"> </w:t>
      </w:r>
      <w:r w:rsidRPr="008A26E1">
        <w:rPr>
          <w:rFonts w:cs="Calibri"/>
          <w:bCs/>
        </w:rPr>
        <w:t>oraz postanowieniami umowy.</w:t>
      </w:r>
    </w:p>
    <w:p w14:paraId="399C8E94" w14:textId="77777777" w:rsidR="00AC274D" w:rsidRPr="008A26E1" w:rsidRDefault="00AC274D" w:rsidP="00DC5CA3">
      <w:pPr>
        <w:pStyle w:val="Akapitzlist"/>
        <w:numPr>
          <w:ilvl w:val="1"/>
          <w:numId w:val="1"/>
        </w:numPr>
        <w:spacing w:after="0"/>
        <w:jc w:val="both"/>
        <w:rPr>
          <w:rFonts w:cs="Calibri"/>
          <w:b/>
          <w:bCs/>
        </w:rPr>
      </w:pPr>
      <w:r w:rsidRPr="008A26E1">
        <w:rPr>
          <w:rFonts w:cs="Calibri"/>
          <w:b/>
          <w:bCs/>
        </w:rPr>
        <w:t>Wykonanie deskowania</w:t>
      </w:r>
    </w:p>
    <w:p w14:paraId="4616875A" w14:textId="77777777" w:rsidR="00AC274D" w:rsidRPr="008A26E1" w:rsidRDefault="00AC274D" w:rsidP="00AC274D">
      <w:pPr>
        <w:spacing w:after="0"/>
        <w:jc w:val="both"/>
        <w:rPr>
          <w:rFonts w:cs="Calibri"/>
          <w:bCs/>
        </w:rPr>
      </w:pPr>
      <w:r w:rsidRPr="008A26E1">
        <w:rPr>
          <w:rFonts w:cs="Calibri"/>
          <w:bCs/>
        </w:rPr>
        <w:t>Deskowanie powinno w czasie eksploatacji zapewnić sztywność i niezmienność konstrukcji oraz</w:t>
      </w:r>
      <w:r>
        <w:rPr>
          <w:rFonts w:cs="Calibri"/>
          <w:bCs/>
        </w:rPr>
        <w:t xml:space="preserve"> </w:t>
      </w:r>
      <w:r w:rsidRPr="008A26E1">
        <w:rPr>
          <w:rFonts w:cs="Calibri"/>
          <w:bCs/>
        </w:rPr>
        <w:t>bezpieczeństwo konstrukcji.</w:t>
      </w:r>
    </w:p>
    <w:p w14:paraId="69535B63" w14:textId="77777777" w:rsidR="00AC274D" w:rsidRPr="008A26E1" w:rsidRDefault="00AC274D" w:rsidP="00AC274D">
      <w:pPr>
        <w:spacing w:after="0"/>
        <w:jc w:val="both"/>
        <w:rPr>
          <w:rFonts w:cs="Calibri"/>
          <w:bCs/>
        </w:rPr>
      </w:pPr>
      <w:r w:rsidRPr="008A26E1">
        <w:rPr>
          <w:rFonts w:cs="Calibri"/>
          <w:bCs/>
        </w:rPr>
        <w:t xml:space="preserve">Konstrukcja </w:t>
      </w:r>
      <w:proofErr w:type="spellStart"/>
      <w:r w:rsidRPr="008A26E1">
        <w:rPr>
          <w:rFonts w:cs="Calibri"/>
          <w:bCs/>
        </w:rPr>
        <w:t>deskowań</w:t>
      </w:r>
      <w:proofErr w:type="spellEnd"/>
      <w:r w:rsidRPr="008A26E1">
        <w:rPr>
          <w:rFonts w:cs="Calibri"/>
          <w:bCs/>
        </w:rPr>
        <w:t xml:space="preserve"> powinna umo</w:t>
      </w:r>
      <w:r>
        <w:rPr>
          <w:rFonts w:cs="Calibri"/>
          <w:bCs/>
        </w:rPr>
        <w:t>ż</w:t>
      </w:r>
      <w:r w:rsidRPr="008A26E1">
        <w:rPr>
          <w:rFonts w:cs="Calibri"/>
          <w:bCs/>
        </w:rPr>
        <w:t>liwić łatwy ich montaż, i demontaż, oraz wielokrotność ich użycia. Płyty</w:t>
      </w:r>
      <w:r>
        <w:rPr>
          <w:rFonts w:cs="Calibri"/>
          <w:bCs/>
        </w:rPr>
        <w:t xml:space="preserve"> </w:t>
      </w:r>
      <w:proofErr w:type="spellStart"/>
      <w:r w:rsidRPr="008A26E1">
        <w:rPr>
          <w:rFonts w:cs="Calibri"/>
          <w:bCs/>
        </w:rPr>
        <w:t>deskowań</w:t>
      </w:r>
      <w:proofErr w:type="spellEnd"/>
      <w:r w:rsidRPr="008A26E1">
        <w:rPr>
          <w:rFonts w:cs="Calibri"/>
          <w:bCs/>
        </w:rPr>
        <w:t xml:space="preserve"> dla betonów ciekłych powinny być tak szczelne, aby zabezpieczały przed wyciekaniem zaprawy z</w:t>
      </w:r>
      <w:r>
        <w:rPr>
          <w:rFonts w:cs="Calibri"/>
          <w:bCs/>
        </w:rPr>
        <w:t xml:space="preserve"> </w:t>
      </w:r>
      <w:r w:rsidRPr="008A26E1">
        <w:rPr>
          <w:rFonts w:cs="Calibri"/>
          <w:bCs/>
        </w:rPr>
        <w:t>masy betonowej. Powierzchnia betonu ma być jednorodna, gładka (bez segregacji, wgłębień, raków) i czysta.</w:t>
      </w:r>
    </w:p>
    <w:p w14:paraId="3DE5E10C" w14:textId="77777777" w:rsidR="00AC274D" w:rsidRPr="008A26E1" w:rsidRDefault="00AC274D" w:rsidP="00AC274D">
      <w:pPr>
        <w:spacing w:after="0"/>
        <w:jc w:val="both"/>
        <w:rPr>
          <w:rFonts w:cs="Calibri"/>
          <w:bCs/>
        </w:rPr>
      </w:pPr>
      <w:r w:rsidRPr="008A26E1">
        <w:rPr>
          <w:rFonts w:cs="Calibri"/>
          <w:bCs/>
        </w:rPr>
        <w:t xml:space="preserve">Tolerancja nierówności powierzchni betonu po </w:t>
      </w:r>
      <w:proofErr w:type="spellStart"/>
      <w:r w:rsidRPr="008A26E1">
        <w:rPr>
          <w:rFonts w:cs="Calibri"/>
          <w:bCs/>
        </w:rPr>
        <w:t>rozszalowaniu</w:t>
      </w:r>
      <w:proofErr w:type="spellEnd"/>
      <w:r w:rsidRPr="008A26E1">
        <w:rPr>
          <w:rFonts w:cs="Calibri"/>
          <w:bCs/>
        </w:rPr>
        <w:t xml:space="preserve"> wynosi:</w:t>
      </w:r>
    </w:p>
    <w:p w14:paraId="36F75B68" w14:textId="77777777" w:rsidR="00AC274D" w:rsidRPr="008A26E1" w:rsidRDefault="00AC274D" w:rsidP="00AC274D">
      <w:pPr>
        <w:spacing w:after="0"/>
        <w:jc w:val="both"/>
        <w:rPr>
          <w:rFonts w:cs="Calibri"/>
          <w:bCs/>
        </w:rPr>
      </w:pPr>
      <w:r w:rsidRPr="008A26E1">
        <w:rPr>
          <w:rFonts w:cs="Calibri"/>
          <w:bCs/>
        </w:rPr>
        <w:t>na odcinku 20 cm - 2 mm</w:t>
      </w:r>
    </w:p>
    <w:p w14:paraId="4A7A7AA6" w14:textId="77777777" w:rsidR="00AC274D" w:rsidRDefault="00AC274D" w:rsidP="00AC274D">
      <w:pPr>
        <w:spacing w:after="0"/>
        <w:jc w:val="both"/>
        <w:rPr>
          <w:rFonts w:cs="Calibri"/>
          <w:bCs/>
        </w:rPr>
      </w:pPr>
      <w:r w:rsidRPr="008A26E1">
        <w:rPr>
          <w:rFonts w:cs="Calibri"/>
          <w:bCs/>
        </w:rPr>
        <w:t>na odcinku 200 cm - 5 mm</w:t>
      </w:r>
    </w:p>
    <w:p w14:paraId="1CA22564" w14:textId="77777777" w:rsidR="00AC274D" w:rsidRPr="002B1BE8" w:rsidRDefault="00AC274D" w:rsidP="00DC5CA3">
      <w:pPr>
        <w:pStyle w:val="Akapitzlist"/>
        <w:numPr>
          <w:ilvl w:val="1"/>
          <w:numId w:val="1"/>
        </w:numPr>
        <w:spacing w:after="0"/>
        <w:jc w:val="both"/>
        <w:rPr>
          <w:rFonts w:cs="Calibri"/>
          <w:b/>
          <w:bCs/>
        </w:rPr>
      </w:pPr>
      <w:r w:rsidRPr="002B1BE8">
        <w:rPr>
          <w:rFonts w:cs="Calibri"/>
          <w:b/>
          <w:bCs/>
        </w:rPr>
        <w:t>Roboty betonowe</w:t>
      </w:r>
    </w:p>
    <w:p w14:paraId="1381290D"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Wytwarzanie mieszanki betonowej.</w:t>
      </w:r>
    </w:p>
    <w:p w14:paraId="5D108248" w14:textId="77777777" w:rsidR="00A451C3" w:rsidRPr="00A451C3" w:rsidRDefault="00A451C3" w:rsidP="00A451C3">
      <w:pPr>
        <w:spacing w:after="0"/>
        <w:jc w:val="both"/>
        <w:rPr>
          <w:rFonts w:cs="Calibri"/>
          <w:b/>
          <w:bCs/>
        </w:rPr>
      </w:pPr>
      <w:r w:rsidRPr="00A451C3">
        <w:rPr>
          <w:rFonts w:cs="Calibri"/>
          <w:b/>
          <w:bCs/>
        </w:rPr>
        <w:t>Dozowanie składników:</w:t>
      </w:r>
    </w:p>
    <w:p w14:paraId="5D62E496" w14:textId="77777777" w:rsidR="00A451C3" w:rsidRPr="00A451C3" w:rsidRDefault="00A451C3" w:rsidP="00A451C3">
      <w:pPr>
        <w:spacing w:after="0"/>
        <w:jc w:val="both"/>
        <w:rPr>
          <w:rFonts w:cs="Calibri"/>
          <w:bCs/>
        </w:rPr>
      </w:pPr>
      <w:r w:rsidRPr="00A451C3">
        <w:rPr>
          <w:rFonts w:cs="Calibri"/>
          <w:bCs/>
        </w:rPr>
        <w:t>-  Dozowanie składników do mieszanki betonowej powinno być dokonywane wyłącznie wagowo z dokładnością:</w:t>
      </w:r>
    </w:p>
    <w:p w14:paraId="35E845EE" w14:textId="77777777" w:rsidR="00A451C3" w:rsidRPr="00A451C3" w:rsidRDefault="00A451C3" w:rsidP="00A451C3">
      <w:pPr>
        <w:spacing w:after="0"/>
        <w:jc w:val="both"/>
        <w:rPr>
          <w:rFonts w:cs="Calibri"/>
          <w:bCs/>
        </w:rPr>
      </w:pPr>
      <w:r w:rsidRPr="00A451C3">
        <w:rPr>
          <w:rFonts w:cs="Calibri"/>
          <w:bCs/>
        </w:rPr>
        <w:t>2% - przy dozowaniu cementu i wody</w:t>
      </w:r>
    </w:p>
    <w:p w14:paraId="2ACF8378" w14:textId="77777777" w:rsidR="00A451C3" w:rsidRPr="00A451C3" w:rsidRDefault="00A451C3" w:rsidP="00A451C3">
      <w:pPr>
        <w:spacing w:after="0"/>
        <w:jc w:val="both"/>
        <w:rPr>
          <w:rFonts w:cs="Calibri"/>
          <w:bCs/>
        </w:rPr>
      </w:pPr>
      <w:r w:rsidRPr="00A451C3">
        <w:rPr>
          <w:rFonts w:cs="Calibri"/>
          <w:bCs/>
        </w:rPr>
        <w:t>3% - przy dozowaniu kruszywa</w:t>
      </w:r>
    </w:p>
    <w:p w14:paraId="75F35B6C" w14:textId="77777777" w:rsidR="00A451C3" w:rsidRPr="00A451C3" w:rsidRDefault="00A451C3" w:rsidP="00A451C3">
      <w:pPr>
        <w:spacing w:after="0"/>
        <w:jc w:val="both"/>
        <w:rPr>
          <w:rFonts w:cs="Calibri"/>
          <w:bCs/>
        </w:rPr>
      </w:pPr>
      <w:r w:rsidRPr="00A451C3">
        <w:rPr>
          <w:rFonts w:cs="Calibri"/>
          <w:bCs/>
        </w:rPr>
        <w:t>Dozatory muszą mieć aktualne świadectwo legalizacji</w:t>
      </w:r>
    </w:p>
    <w:p w14:paraId="14072D5B" w14:textId="77777777" w:rsidR="00A451C3" w:rsidRPr="00A451C3" w:rsidRDefault="00B05EEC" w:rsidP="00A451C3">
      <w:pPr>
        <w:spacing w:after="0"/>
        <w:jc w:val="both"/>
        <w:rPr>
          <w:rFonts w:cs="Calibri"/>
          <w:bCs/>
        </w:rPr>
      </w:pPr>
      <w:r>
        <w:rPr>
          <w:rFonts w:cs="Calibri"/>
          <w:bCs/>
        </w:rPr>
        <w:t>P</w:t>
      </w:r>
      <w:r w:rsidR="00A451C3" w:rsidRPr="00A451C3">
        <w:rPr>
          <w:rFonts w:cs="Calibri"/>
          <w:bCs/>
        </w:rPr>
        <w:t>rzy dozowaniu składników powinno się uwzględniać korektę związaną ze zmiennym zawilgoceniem kruszywa</w:t>
      </w:r>
    </w:p>
    <w:p w14:paraId="7263BDEB" w14:textId="77777777" w:rsidR="00A451C3" w:rsidRPr="00A451C3" w:rsidRDefault="00A451C3" w:rsidP="00A451C3">
      <w:pPr>
        <w:spacing w:after="0"/>
        <w:jc w:val="both"/>
        <w:rPr>
          <w:rFonts w:cs="Calibri"/>
          <w:b/>
          <w:bCs/>
        </w:rPr>
      </w:pPr>
      <w:r w:rsidRPr="00A451C3">
        <w:rPr>
          <w:rFonts w:cs="Calibri"/>
          <w:b/>
          <w:bCs/>
        </w:rPr>
        <w:t>Mieszanie składników</w:t>
      </w:r>
    </w:p>
    <w:p w14:paraId="7779D39C" w14:textId="77777777" w:rsidR="00A451C3" w:rsidRPr="00A451C3" w:rsidRDefault="00A451C3" w:rsidP="00A451C3">
      <w:pPr>
        <w:spacing w:after="0"/>
        <w:jc w:val="both"/>
        <w:rPr>
          <w:rFonts w:cs="Calibri"/>
          <w:bCs/>
        </w:rPr>
      </w:pPr>
      <w:r w:rsidRPr="00A451C3">
        <w:rPr>
          <w:rFonts w:cs="Calibri"/>
          <w:bCs/>
        </w:rPr>
        <w:lastRenderedPageBreak/>
        <w:t xml:space="preserve">Mieszanie składników powinno się odbywać wyłącznie w betoniarkach wymuszonym działaniu (zabrania się stosowania mieszarek </w:t>
      </w:r>
      <w:proofErr w:type="spellStart"/>
      <w:r w:rsidRPr="00A451C3">
        <w:rPr>
          <w:rFonts w:cs="Calibri"/>
          <w:bCs/>
        </w:rPr>
        <w:t>wolnospadowych</w:t>
      </w:r>
      <w:proofErr w:type="spellEnd"/>
      <w:r w:rsidRPr="00A451C3">
        <w:rPr>
          <w:rFonts w:cs="Calibri"/>
          <w:bCs/>
        </w:rPr>
        <w:t>).</w:t>
      </w:r>
    </w:p>
    <w:p w14:paraId="17B7EF9A" w14:textId="77777777" w:rsidR="00A451C3" w:rsidRPr="00A451C3" w:rsidRDefault="00A451C3" w:rsidP="00A451C3">
      <w:pPr>
        <w:spacing w:after="0"/>
        <w:jc w:val="both"/>
        <w:rPr>
          <w:rFonts w:cs="Calibri"/>
          <w:bCs/>
        </w:rPr>
      </w:pPr>
      <w:r w:rsidRPr="00A451C3">
        <w:rPr>
          <w:rFonts w:cs="Calibri"/>
          <w:bCs/>
        </w:rPr>
        <w:t>Czas mieszania należy ustalić doświadczalnie jednak nie powinien być krótszy niż 2 minuty.</w:t>
      </w:r>
    </w:p>
    <w:p w14:paraId="066F9807"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Podawanie i układanie mieszanki betonowej</w:t>
      </w:r>
    </w:p>
    <w:p w14:paraId="0227F70C" w14:textId="77777777" w:rsidR="00A451C3" w:rsidRPr="00A451C3" w:rsidRDefault="00A451C3" w:rsidP="00A451C3">
      <w:pPr>
        <w:spacing w:after="0"/>
        <w:jc w:val="both"/>
        <w:rPr>
          <w:rFonts w:cs="Calibri"/>
          <w:bCs/>
        </w:rPr>
      </w:pPr>
      <w:r w:rsidRPr="00A451C3">
        <w:rPr>
          <w:rFonts w:cs="Calibri"/>
          <w:bCs/>
        </w:rPr>
        <w:t>Do podawania mieszanek betonowych należy stosować pojemniki o konstrukcji umożliwiającej łatwe ich opróżnianie lub pompy przystosowanej do podawania mieszanek plastycznych. Przy stosowaniu pomp obowiązują odrębne wymagania technologiczne przy czym wymaga się sprawdzenia ustalonej konsystencji mieszanki betonowej przy wylocie.</w:t>
      </w:r>
    </w:p>
    <w:p w14:paraId="523D4B2B" w14:textId="77777777" w:rsidR="00A451C3" w:rsidRPr="00A451C3" w:rsidRDefault="00A451C3" w:rsidP="00A451C3">
      <w:pPr>
        <w:spacing w:after="0"/>
        <w:jc w:val="both"/>
        <w:rPr>
          <w:rFonts w:cs="Calibri"/>
          <w:bCs/>
        </w:rPr>
      </w:pPr>
      <w:r w:rsidRPr="00A451C3">
        <w:rPr>
          <w:rFonts w:cs="Calibri"/>
          <w:bCs/>
        </w:rPr>
        <w:t>Przed przystąpieniem do układania betonu należy sprawdzić: położenie zbrojenia, zgodność rzędnych z projektem, czystość deskowania oraz obecność wkładek dystansowych zapewniających wymaganą wielkość otuliny.</w:t>
      </w:r>
    </w:p>
    <w:p w14:paraId="1479993A" w14:textId="77777777" w:rsidR="00A451C3" w:rsidRPr="00A451C3" w:rsidRDefault="00A451C3" w:rsidP="00A451C3">
      <w:pPr>
        <w:spacing w:after="0"/>
        <w:jc w:val="both"/>
        <w:rPr>
          <w:rFonts w:cs="Calibri"/>
          <w:bCs/>
        </w:rPr>
      </w:pPr>
      <w:r w:rsidRPr="00A451C3">
        <w:rPr>
          <w:rFonts w:cs="Calibri"/>
          <w:bCs/>
        </w:rPr>
        <w:t xml:space="preserve">Mieszanki betonowej nie należy zrzucać z wysokości większej niż </w:t>
      </w:r>
      <w:smartTag w:uri="urn:schemas-microsoft-com:office:smarttags" w:element="metricconverter">
        <w:smartTagPr>
          <w:attr w:name="ProductID" w:val="0,75 m"/>
        </w:smartTagPr>
        <w:r w:rsidRPr="00A451C3">
          <w:rPr>
            <w:rFonts w:cs="Calibri"/>
            <w:bCs/>
          </w:rPr>
          <w:t>0,75 m</w:t>
        </w:r>
      </w:smartTag>
      <w:r w:rsidRPr="00A451C3">
        <w:rPr>
          <w:rFonts w:cs="Calibri"/>
          <w:bCs/>
        </w:rPr>
        <w:t xml:space="preserve"> od powierzchni, na którą spada. W przypadku gdy wysokość ta jest większa należy mieszankę podawać za pomocą rynny zsypowej (do wysokości </w:t>
      </w:r>
      <w:smartTag w:uri="urn:schemas-microsoft-com:office:smarttags" w:element="metricconverter">
        <w:smartTagPr>
          <w:attr w:name="ProductID" w:val="3,0 m"/>
        </w:smartTagPr>
        <w:r w:rsidRPr="00A451C3">
          <w:rPr>
            <w:rFonts w:cs="Calibri"/>
            <w:bCs/>
          </w:rPr>
          <w:t>3,0 m</w:t>
        </w:r>
      </w:smartTag>
      <w:r w:rsidRPr="00A451C3">
        <w:rPr>
          <w:rFonts w:cs="Calibri"/>
          <w:bCs/>
        </w:rPr>
        <w:t xml:space="preserve">) lub leja zsypowego teleskopowego (do wys. </w:t>
      </w:r>
      <w:smartTag w:uri="urn:schemas-microsoft-com:office:smarttags" w:element="metricconverter">
        <w:smartTagPr>
          <w:attr w:name="ProductID" w:val="8,0 m"/>
        </w:smartTagPr>
        <w:r w:rsidRPr="00A451C3">
          <w:rPr>
            <w:rFonts w:cs="Calibri"/>
            <w:bCs/>
          </w:rPr>
          <w:t>8,0 m</w:t>
        </w:r>
      </w:smartTag>
      <w:r w:rsidRPr="00A451C3">
        <w:rPr>
          <w:rFonts w:cs="Calibri"/>
          <w:bCs/>
        </w:rPr>
        <w:t>).</w:t>
      </w:r>
    </w:p>
    <w:p w14:paraId="17F80011" w14:textId="77777777" w:rsidR="00A451C3" w:rsidRPr="00A451C3" w:rsidRDefault="00A451C3" w:rsidP="00A451C3">
      <w:pPr>
        <w:spacing w:after="0"/>
        <w:jc w:val="both"/>
        <w:rPr>
          <w:rFonts w:cs="Calibri"/>
          <w:bCs/>
        </w:rPr>
      </w:pPr>
      <w:r w:rsidRPr="00A451C3">
        <w:rPr>
          <w:rFonts w:cs="Calibri"/>
          <w:bCs/>
        </w:rPr>
        <w:t>Przy wykonywaniu konstrukcji monolitycznych należy przestrzegać dokumentacji technologicznej, która powinna uwzględniać następujące zalecenia:</w:t>
      </w:r>
    </w:p>
    <w:p w14:paraId="20275648" w14:textId="77777777" w:rsidR="00A451C3" w:rsidRPr="00A451C3" w:rsidRDefault="00A451C3" w:rsidP="00A451C3">
      <w:pPr>
        <w:spacing w:after="0"/>
        <w:jc w:val="both"/>
        <w:rPr>
          <w:rFonts w:cs="Calibri"/>
          <w:bCs/>
        </w:rPr>
      </w:pPr>
      <w:r w:rsidRPr="00A451C3">
        <w:rPr>
          <w:rFonts w:cs="Calibri"/>
          <w:bCs/>
        </w:rPr>
        <w:t>- w fundamentach i korpusach podpór mieszankę betonową należy układać bezpośrednio z pojemnika lub rurociągu pompy, bądź też za pośrednictwem rynny,</w:t>
      </w:r>
    </w:p>
    <w:p w14:paraId="2025D449" w14:textId="77777777" w:rsidR="00A451C3" w:rsidRPr="00A451C3" w:rsidRDefault="00A451C3" w:rsidP="00A451C3">
      <w:pPr>
        <w:spacing w:after="0"/>
        <w:jc w:val="both"/>
        <w:rPr>
          <w:rFonts w:cs="Calibri"/>
          <w:bCs/>
        </w:rPr>
      </w:pPr>
      <w:r w:rsidRPr="00A451C3">
        <w:rPr>
          <w:rFonts w:cs="Calibri"/>
          <w:bCs/>
        </w:rPr>
        <w:t xml:space="preserve">-  warstwami o grubości do </w:t>
      </w:r>
      <w:smartTag w:uri="urn:schemas-microsoft-com:office:smarttags" w:element="metricconverter">
        <w:smartTagPr>
          <w:attr w:name="ProductID" w:val="40 cm"/>
        </w:smartTagPr>
        <w:r w:rsidRPr="00A451C3">
          <w:rPr>
            <w:rFonts w:cs="Calibri"/>
            <w:bCs/>
          </w:rPr>
          <w:t>40 cm</w:t>
        </w:r>
      </w:smartTag>
      <w:r w:rsidRPr="00A451C3">
        <w:rPr>
          <w:rFonts w:cs="Calibri"/>
          <w:bCs/>
        </w:rPr>
        <w:t xml:space="preserve"> zagęszczając wibratorami wgłębnymi,</w:t>
      </w:r>
    </w:p>
    <w:p w14:paraId="664DBCF9" w14:textId="77777777" w:rsidR="00A451C3" w:rsidRPr="00A451C3" w:rsidRDefault="00A451C3" w:rsidP="00A451C3">
      <w:pPr>
        <w:spacing w:after="0"/>
        <w:jc w:val="both"/>
        <w:rPr>
          <w:rFonts w:cs="Calibri"/>
          <w:bCs/>
        </w:rPr>
      </w:pPr>
      <w:r w:rsidRPr="00A451C3">
        <w:rPr>
          <w:rFonts w:cs="Calibri"/>
          <w:bCs/>
        </w:rPr>
        <w:t xml:space="preserve">-  przy wykonywaniu płyt mieszankę betonową należy układać bezpośrednio z pojemnika lub rurociągu pompy. W płytach o grubości większej od </w:t>
      </w:r>
      <w:smartTag w:uri="urn:schemas-microsoft-com:office:smarttags" w:element="metricconverter">
        <w:smartTagPr>
          <w:attr w:name="ProductID" w:val="12 cm"/>
        </w:smartTagPr>
        <w:r w:rsidRPr="00A451C3">
          <w:rPr>
            <w:rFonts w:cs="Calibri"/>
            <w:bCs/>
          </w:rPr>
          <w:t>12 cm</w:t>
        </w:r>
      </w:smartTag>
      <w:r w:rsidRPr="00A451C3">
        <w:rPr>
          <w:rFonts w:cs="Calibri"/>
          <w:bCs/>
        </w:rPr>
        <w:t xml:space="preserve"> zbrojonych górą i dołem należy stosować belki wibracyjne.</w:t>
      </w:r>
    </w:p>
    <w:p w14:paraId="4F578F19"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Zagęszczanie betonu.</w:t>
      </w:r>
    </w:p>
    <w:p w14:paraId="6D198879" w14:textId="77777777" w:rsidR="00A451C3" w:rsidRPr="00A451C3" w:rsidRDefault="00A451C3" w:rsidP="00A451C3">
      <w:pPr>
        <w:spacing w:after="0"/>
        <w:jc w:val="both"/>
        <w:rPr>
          <w:rFonts w:cs="Calibri"/>
          <w:bCs/>
        </w:rPr>
      </w:pPr>
      <w:r w:rsidRPr="00A451C3">
        <w:rPr>
          <w:rFonts w:cs="Calibri"/>
          <w:bCs/>
        </w:rPr>
        <w:t>Przy zagęszczaniu mieszanki betonowej należy przestrzegać następujących zasad:</w:t>
      </w:r>
    </w:p>
    <w:p w14:paraId="0795745C"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Wibratory wgłębne należy stosować o częstotliwości min. 6000 drgań na minutę, z buławami o średnicy nie większej niż 0,65 odległości między prętami zbrojenia leżącymi w płaszczyźnie poziomej.</w:t>
      </w:r>
    </w:p>
    <w:p w14:paraId="0B9D9E34"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Podczas zagęszczania wibratorami wgłębnymi nie wolno dotykać zbrojenia buławą wibratora.</w:t>
      </w:r>
    </w:p>
    <w:p w14:paraId="38CAEDE2"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Podczas zagęszczania wibratorami wgłębnymi należy zagłębić buławę na głębokość 5-</w:t>
      </w:r>
      <w:smartTag w:uri="urn:schemas-microsoft-com:office:smarttags" w:element="metricconverter">
        <w:smartTagPr>
          <w:attr w:name="ProductID" w:val="8 cm"/>
        </w:smartTagPr>
        <w:r w:rsidRPr="00B05EEC">
          <w:rPr>
            <w:rFonts w:cs="Calibri"/>
            <w:bCs/>
          </w:rPr>
          <w:t>8 cm</w:t>
        </w:r>
      </w:smartTag>
      <w:r w:rsidRPr="00B05EEC">
        <w:rPr>
          <w:rFonts w:cs="Calibri"/>
          <w:bCs/>
        </w:rPr>
        <w:t xml:space="preserve"> w warstwę poprzednią i przytrzymywać buławę w jednym miejscu w czasie 20-30 sekund po czym wyjmować powoli w stanic wibrującym.</w:t>
      </w:r>
    </w:p>
    <w:p w14:paraId="5C14CB65"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Kolejne miejsca zagłębienia buławy powinny być od siebie oddalone o 1,4 R, gdzie R jest promieniem skutecznego działania wibratora. Odległość ta zwykle wynosi 0,35-</w:t>
      </w:r>
      <w:smartTag w:uri="urn:schemas-microsoft-com:office:smarttags" w:element="metricconverter">
        <w:smartTagPr>
          <w:attr w:name="ProductID" w:val="0,7 m"/>
        </w:smartTagPr>
        <w:r w:rsidRPr="00B05EEC">
          <w:rPr>
            <w:rFonts w:cs="Calibri"/>
            <w:bCs/>
          </w:rPr>
          <w:t>0,7 m</w:t>
        </w:r>
      </w:smartTag>
      <w:r w:rsidRPr="00B05EEC">
        <w:rPr>
          <w:rFonts w:cs="Calibri"/>
          <w:bCs/>
        </w:rPr>
        <w:t>.</w:t>
      </w:r>
    </w:p>
    <w:p w14:paraId="24CBC8CB"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Belki wibracyjne powinny być stosowane do wyrównania powierzchni betonu płyt i charakteryzować się jednakowymi drganiami na całej długości.</w:t>
      </w:r>
    </w:p>
    <w:p w14:paraId="38E2EB30"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Czas zagęszczania wibratorem powierzchniowym, lub belką wibracyjną w jednym miejscu powinien wynosić od 30 do 60 sekund.</w:t>
      </w:r>
    </w:p>
    <w:p w14:paraId="7465694D" w14:textId="77777777" w:rsidR="00A451C3" w:rsidRPr="00B05EEC" w:rsidRDefault="00A451C3" w:rsidP="00EB7764">
      <w:pPr>
        <w:pStyle w:val="Akapitzlist"/>
        <w:numPr>
          <w:ilvl w:val="0"/>
          <w:numId w:val="3"/>
        </w:numPr>
        <w:spacing w:after="0"/>
        <w:jc w:val="both"/>
        <w:rPr>
          <w:rFonts w:cs="Calibri"/>
          <w:bCs/>
        </w:rPr>
      </w:pPr>
      <w:r w:rsidRPr="00B05EEC">
        <w:rPr>
          <w:rFonts w:cs="Calibri"/>
          <w:bCs/>
        </w:rPr>
        <w:t xml:space="preserve">Zasięg działania wibratorów przyczepnych wynosi zwykle od 20 do </w:t>
      </w:r>
      <w:smartTag w:uri="urn:schemas-microsoft-com:office:smarttags" w:element="metricconverter">
        <w:smartTagPr>
          <w:attr w:name="ProductID" w:val="50 cm"/>
        </w:smartTagPr>
        <w:r w:rsidRPr="00B05EEC">
          <w:rPr>
            <w:rFonts w:cs="Calibri"/>
            <w:bCs/>
          </w:rPr>
          <w:t>50 cm</w:t>
        </w:r>
      </w:smartTag>
      <w:r w:rsidRPr="00B05EEC">
        <w:rPr>
          <w:rFonts w:cs="Calibri"/>
          <w:bCs/>
        </w:rPr>
        <w:t xml:space="preserve"> w kierunku głębokości i od 1,0 do </w:t>
      </w:r>
      <w:smartTag w:uri="urn:schemas-microsoft-com:office:smarttags" w:element="metricconverter">
        <w:smartTagPr>
          <w:attr w:name="ProductID" w:val="1,5 m"/>
        </w:smartTagPr>
        <w:r w:rsidRPr="00B05EEC">
          <w:rPr>
            <w:rFonts w:cs="Calibri"/>
            <w:bCs/>
          </w:rPr>
          <w:t>1,5 m</w:t>
        </w:r>
      </w:smartTag>
      <w:r w:rsidRPr="00B05EEC">
        <w:rPr>
          <w:rFonts w:cs="Calibri"/>
          <w:bCs/>
        </w:rPr>
        <w:t xml:space="preserve"> w kierunku długości elementu. Rozstaw wibratorów należy ustalić doświadczalnie tak aby nie powstawały martwe pola. Mocowanie wibratorów powinno być trwałe i sztywne.</w:t>
      </w:r>
    </w:p>
    <w:p w14:paraId="71859925"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Przerwy w betonowaniu.</w:t>
      </w:r>
    </w:p>
    <w:p w14:paraId="2D51091E" w14:textId="77777777" w:rsidR="00A451C3" w:rsidRPr="00A451C3" w:rsidRDefault="00A451C3" w:rsidP="00A451C3">
      <w:pPr>
        <w:spacing w:after="0"/>
        <w:jc w:val="both"/>
        <w:rPr>
          <w:rFonts w:cs="Calibri"/>
          <w:bCs/>
        </w:rPr>
      </w:pPr>
      <w:r w:rsidRPr="00A451C3">
        <w:rPr>
          <w:rFonts w:cs="Calibri"/>
          <w:bCs/>
        </w:rPr>
        <w:t>Przerwy w betonowaniu należy sytuować w miejscach uprzednio przewidzianych i uz</w:t>
      </w:r>
      <w:r w:rsidRPr="00A451C3">
        <w:rPr>
          <w:rFonts w:cs="Calibri"/>
          <w:bCs/>
        </w:rPr>
        <w:softHyphen/>
        <w:t>godnionych z projektantem.</w:t>
      </w:r>
    </w:p>
    <w:p w14:paraId="18D7944D" w14:textId="77777777" w:rsidR="00A451C3" w:rsidRPr="00A451C3" w:rsidRDefault="00A451C3" w:rsidP="00A451C3">
      <w:pPr>
        <w:spacing w:after="0"/>
        <w:jc w:val="both"/>
        <w:rPr>
          <w:rFonts w:cs="Calibri"/>
          <w:bCs/>
        </w:rPr>
      </w:pPr>
      <w:r w:rsidRPr="00A451C3">
        <w:rPr>
          <w:rFonts w:cs="Calibri"/>
          <w:bCs/>
        </w:rPr>
        <w:lastRenderedPageBreak/>
        <w:t xml:space="preserve">Ukształtowanie powierzchni betonu w przerwie roboczej po winno być uzgodnione z projektantem, a w prostszych przypadkach można się kierować zasadą, że powinna ona być prostopadła do kierunku </w:t>
      </w:r>
      <w:proofErr w:type="spellStart"/>
      <w:r w:rsidRPr="00A451C3">
        <w:rPr>
          <w:rFonts w:cs="Calibri"/>
          <w:bCs/>
        </w:rPr>
        <w:t>naprężeń</w:t>
      </w:r>
      <w:proofErr w:type="spellEnd"/>
      <w:r w:rsidRPr="00A451C3">
        <w:rPr>
          <w:rFonts w:cs="Calibri"/>
          <w:bCs/>
        </w:rPr>
        <w:t xml:space="preserve"> głównych.</w:t>
      </w:r>
    </w:p>
    <w:p w14:paraId="2160FDA1" w14:textId="77777777" w:rsidR="00A451C3" w:rsidRPr="00A451C3" w:rsidRDefault="00A451C3" w:rsidP="00A451C3">
      <w:pPr>
        <w:spacing w:after="0"/>
        <w:jc w:val="both"/>
        <w:rPr>
          <w:rFonts w:cs="Calibri"/>
          <w:bCs/>
        </w:rPr>
      </w:pPr>
      <w:r w:rsidRPr="00A451C3">
        <w:rPr>
          <w:rFonts w:cs="Calibri"/>
          <w:bCs/>
        </w:rPr>
        <w:t>Powierzchnia betonu w miejscu przerwania betonowania powinna być starannie przygotowana do połączenia betonu stwardniałego ze świeżym przez:</w:t>
      </w:r>
    </w:p>
    <w:p w14:paraId="20EED10C" w14:textId="77777777" w:rsidR="00A451C3" w:rsidRPr="00A451C3" w:rsidRDefault="00A451C3" w:rsidP="00A451C3">
      <w:pPr>
        <w:spacing w:after="0"/>
        <w:jc w:val="both"/>
        <w:rPr>
          <w:rFonts w:cs="Calibri"/>
          <w:bCs/>
        </w:rPr>
      </w:pPr>
      <w:r w:rsidRPr="00A451C3">
        <w:rPr>
          <w:rFonts w:cs="Calibri"/>
          <w:bCs/>
        </w:rPr>
        <w:t>-  usunięcie z powierzchni betonu stwardniałego, luźnych okruchów betonu oraz warstwy pozostałego szkliwa cementowego,</w:t>
      </w:r>
    </w:p>
    <w:p w14:paraId="04D67EBF" w14:textId="77777777" w:rsidR="00A451C3" w:rsidRPr="00A451C3" w:rsidRDefault="00A451C3" w:rsidP="00A451C3">
      <w:pPr>
        <w:spacing w:after="0"/>
        <w:jc w:val="both"/>
        <w:rPr>
          <w:rFonts w:cs="Calibri"/>
          <w:bCs/>
        </w:rPr>
      </w:pPr>
      <w:r w:rsidRPr="00A451C3">
        <w:rPr>
          <w:rFonts w:cs="Calibri"/>
          <w:bCs/>
        </w:rPr>
        <w:t>-  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14:paraId="33C92082" w14:textId="77777777" w:rsidR="00A451C3" w:rsidRPr="00A451C3" w:rsidRDefault="00A451C3" w:rsidP="00A451C3">
      <w:pPr>
        <w:spacing w:after="0"/>
        <w:jc w:val="both"/>
        <w:rPr>
          <w:rFonts w:cs="Calibri"/>
          <w:bCs/>
        </w:rPr>
      </w:pPr>
      <w:r w:rsidRPr="00A451C3">
        <w:rPr>
          <w:rFonts w:cs="Calibri"/>
          <w:bCs/>
        </w:rPr>
        <w:t>W przypadku przerwy w układaniu betonu zagęszczonego przez wibrowanie, wznowienie betonowania nie powinno się odbyć później niż w ciągu 3 godzin lub po całkowitym stwardnieniu betonu.</w:t>
      </w:r>
    </w:p>
    <w:p w14:paraId="45F0DAC4" w14:textId="77777777" w:rsidR="00A451C3" w:rsidRPr="00A451C3" w:rsidRDefault="00A451C3" w:rsidP="00A451C3">
      <w:pPr>
        <w:spacing w:after="0"/>
        <w:jc w:val="both"/>
        <w:rPr>
          <w:rFonts w:cs="Calibri"/>
          <w:bCs/>
        </w:rPr>
      </w:pPr>
      <w:r w:rsidRPr="00A451C3">
        <w:rPr>
          <w:rFonts w:cs="Calibri"/>
          <w:bCs/>
        </w:rPr>
        <w:t xml:space="preserve">Jeżeli temperatura powietrza jest wyższa niż </w:t>
      </w:r>
      <w:smartTag w:uri="urn:schemas-microsoft-com:office:smarttags" w:element="metricconverter">
        <w:smartTagPr>
          <w:attr w:name="ProductID" w:val="20ﾰC"/>
        </w:smartTagPr>
        <w:r w:rsidRPr="00A451C3">
          <w:rPr>
            <w:rFonts w:cs="Calibri"/>
            <w:bCs/>
          </w:rPr>
          <w:t>20°C</w:t>
        </w:r>
      </w:smartTag>
      <w:r w:rsidRPr="00A451C3">
        <w:rPr>
          <w:rFonts w:cs="Calibri"/>
          <w:bCs/>
        </w:rPr>
        <w:t xml:space="preserve"> to czas trwania przerwy nie powinien przekraczać 2 godzin. Po wznowieniu betonowania należy unikać dotykania wibratorem deskowania, zbrojenia i poprzednio ułożonego betonu.</w:t>
      </w:r>
    </w:p>
    <w:p w14:paraId="44056C3E"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Wymagania przy pracy w nocy.</w:t>
      </w:r>
    </w:p>
    <w:p w14:paraId="1F16549A" w14:textId="77777777" w:rsidR="00A451C3" w:rsidRPr="00A451C3" w:rsidRDefault="00A451C3" w:rsidP="00A451C3">
      <w:pPr>
        <w:spacing w:after="0"/>
        <w:jc w:val="both"/>
        <w:rPr>
          <w:rFonts w:cs="Calibri"/>
          <w:bCs/>
        </w:rPr>
      </w:pPr>
      <w:r w:rsidRPr="00A451C3">
        <w:rPr>
          <w:rFonts w:cs="Calibri"/>
          <w:bCs/>
        </w:rPr>
        <w:t>W przypadku gdy betonowanie konstrukcji wykonywane jest także w nocy konieczne jest wcześniejsze przygotowanie odpowiedniego oświetlenia zapewniającego prawidłowe wykonawstwo robót i dostateczne warunki bezpieczeństwa pracy.</w:t>
      </w:r>
    </w:p>
    <w:p w14:paraId="36B855C3"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Pobranie próbek i badanie.</w:t>
      </w:r>
    </w:p>
    <w:p w14:paraId="58BEEE0F" w14:textId="77777777" w:rsidR="00A451C3" w:rsidRPr="00A451C3" w:rsidRDefault="00A451C3" w:rsidP="00A451C3">
      <w:pPr>
        <w:spacing w:after="0"/>
        <w:jc w:val="both"/>
        <w:rPr>
          <w:rFonts w:cs="Calibri"/>
          <w:bCs/>
        </w:rPr>
      </w:pPr>
      <w:r w:rsidRPr="00A451C3">
        <w:rPr>
          <w:rFonts w:cs="Calibri"/>
          <w:bCs/>
        </w:rPr>
        <w:t>Na wykonawcy spoczywa obowiązek zapewnienia wykonania badań laboratoryjnych przewidzianych normą PN-EN 206-1:2003 oraz gromadzenie, przechowywanie i okazywanie Inżynierowi ws2ystkich wyników badań dotyczących jakości betonu i stosowanych materiałów.</w:t>
      </w:r>
    </w:p>
    <w:p w14:paraId="2FBF9595" w14:textId="77777777" w:rsidR="00A451C3" w:rsidRPr="00A451C3" w:rsidRDefault="00A451C3" w:rsidP="00A451C3">
      <w:pPr>
        <w:spacing w:after="0"/>
        <w:jc w:val="both"/>
        <w:rPr>
          <w:rFonts w:cs="Calibri"/>
          <w:bCs/>
        </w:rPr>
      </w:pPr>
      <w:r w:rsidRPr="00A451C3">
        <w:rPr>
          <w:rFonts w:cs="Calibri"/>
          <w:bCs/>
        </w:rPr>
        <w:t>Jeżeli beton poddany jest specjalnym zabiegom technologicznym, należy opracować plan kontroli jakości betonu dostosowany do wymagań technologii produkcji. W planie kontroli powinny być uwzględnione badania przewidziane aktualną normą i niniejszymi SST oraz ewentualne inne konieczne do potwierdzenia prawidłowości zastosowanych zabiegów technologicznych,</w:t>
      </w:r>
    </w:p>
    <w:p w14:paraId="63DA50B0" w14:textId="77777777" w:rsidR="00A451C3" w:rsidRPr="00A451C3" w:rsidRDefault="00B05EEC" w:rsidP="00A451C3">
      <w:pPr>
        <w:spacing w:after="0"/>
        <w:jc w:val="both"/>
        <w:rPr>
          <w:rFonts w:cs="Calibri"/>
          <w:bCs/>
        </w:rPr>
      </w:pPr>
      <w:r>
        <w:rPr>
          <w:rFonts w:cs="Calibri"/>
          <w:bCs/>
        </w:rPr>
        <w:t>B</w:t>
      </w:r>
      <w:r w:rsidR="00A451C3" w:rsidRPr="00A451C3">
        <w:rPr>
          <w:rFonts w:cs="Calibri"/>
          <w:bCs/>
        </w:rPr>
        <w:t>adania powinny obejmować:</w:t>
      </w:r>
    </w:p>
    <w:p w14:paraId="49566ECA" w14:textId="77777777" w:rsidR="00A451C3" w:rsidRPr="00A451C3" w:rsidRDefault="00A451C3" w:rsidP="00A451C3">
      <w:pPr>
        <w:spacing w:after="0"/>
        <w:jc w:val="both"/>
        <w:rPr>
          <w:rFonts w:cs="Calibri"/>
          <w:bCs/>
        </w:rPr>
      </w:pPr>
      <w:r w:rsidRPr="00A451C3">
        <w:rPr>
          <w:rFonts w:cs="Calibri"/>
          <w:bCs/>
        </w:rPr>
        <w:t>-  badanie składników betonu</w:t>
      </w:r>
    </w:p>
    <w:p w14:paraId="13E52915" w14:textId="77777777" w:rsidR="00A451C3" w:rsidRPr="00A451C3" w:rsidRDefault="00A451C3" w:rsidP="00A451C3">
      <w:pPr>
        <w:spacing w:after="0"/>
        <w:jc w:val="both"/>
        <w:rPr>
          <w:rFonts w:cs="Calibri"/>
          <w:bCs/>
        </w:rPr>
      </w:pPr>
      <w:r w:rsidRPr="00A451C3">
        <w:rPr>
          <w:rFonts w:cs="Calibri"/>
          <w:bCs/>
        </w:rPr>
        <w:t>-  badanie mieszanki betonowej</w:t>
      </w:r>
    </w:p>
    <w:p w14:paraId="5965BB1B" w14:textId="77777777" w:rsidR="00A451C3" w:rsidRPr="00A451C3" w:rsidRDefault="00A451C3" w:rsidP="00A451C3">
      <w:pPr>
        <w:spacing w:after="0"/>
        <w:jc w:val="both"/>
        <w:rPr>
          <w:rFonts w:cs="Calibri"/>
          <w:bCs/>
        </w:rPr>
      </w:pPr>
      <w:r w:rsidRPr="00A451C3">
        <w:rPr>
          <w:rFonts w:cs="Calibri"/>
          <w:bCs/>
        </w:rPr>
        <w:t>-  badanie betonu.</w:t>
      </w:r>
    </w:p>
    <w:p w14:paraId="2EC7E8A8"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Warunki atmosferyczne przy układaniu mieszanki betonowej i wiązaniu betonu</w:t>
      </w:r>
    </w:p>
    <w:p w14:paraId="46353372" w14:textId="77777777" w:rsidR="00A451C3" w:rsidRPr="00A451C3" w:rsidRDefault="00A451C3" w:rsidP="00A451C3">
      <w:pPr>
        <w:spacing w:after="0"/>
        <w:jc w:val="both"/>
        <w:rPr>
          <w:rFonts w:cs="Calibri"/>
          <w:b/>
          <w:bCs/>
        </w:rPr>
      </w:pPr>
      <w:r w:rsidRPr="00A451C3">
        <w:rPr>
          <w:rFonts w:cs="Calibri"/>
          <w:b/>
          <w:bCs/>
        </w:rPr>
        <w:t>Temperatura otoczenia</w:t>
      </w:r>
    </w:p>
    <w:p w14:paraId="02038205" w14:textId="77777777" w:rsidR="00A451C3" w:rsidRPr="00A451C3" w:rsidRDefault="00A451C3" w:rsidP="00A451C3">
      <w:pPr>
        <w:spacing w:after="0"/>
        <w:jc w:val="both"/>
        <w:rPr>
          <w:rFonts w:cs="Calibri"/>
          <w:bCs/>
        </w:rPr>
      </w:pPr>
      <w:r w:rsidRPr="00A451C3">
        <w:rPr>
          <w:rFonts w:cs="Calibri"/>
          <w:bCs/>
        </w:rPr>
        <w:t>Betonowanie należy wykonywać wyłącznie w temperaturach nie niższych niż +</w:t>
      </w:r>
      <w:smartTag w:uri="urn:schemas-microsoft-com:office:smarttags" w:element="metricconverter">
        <w:smartTagPr>
          <w:attr w:name="ProductID" w:val="5ﾰC"/>
        </w:smartTagPr>
        <w:r w:rsidRPr="00A451C3">
          <w:rPr>
            <w:rFonts w:cs="Calibri"/>
            <w:bCs/>
          </w:rPr>
          <w:t>5°C</w:t>
        </w:r>
      </w:smartTag>
      <w:r w:rsidRPr="00A451C3">
        <w:rPr>
          <w:rFonts w:cs="Calibri"/>
          <w:bCs/>
        </w:rPr>
        <w:t xml:space="preserve">, zachowując warunki umożliwiające uzyskanie przez beton wytrzymałości co najmniej 15 </w:t>
      </w:r>
      <w:proofErr w:type="spellStart"/>
      <w:r w:rsidRPr="00A451C3">
        <w:rPr>
          <w:rFonts w:cs="Calibri"/>
          <w:bCs/>
        </w:rPr>
        <w:t>MPa</w:t>
      </w:r>
      <w:proofErr w:type="spellEnd"/>
      <w:r w:rsidRPr="00A451C3">
        <w:rPr>
          <w:rFonts w:cs="Calibri"/>
          <w:bCs/>
        </w:rPr>
        <w:t xml:space="preserve"> przed pierwszym zamarznięciem.</w:t>
      </w:r>
    </w:p>
    <w:p w14:paraId="5B9FB8FB" w14:textId="77777777" w:rsidR="00A451C3" w:rsidRPr="00A451C3" w:rsidRDefault="00A451C3" w:rsidP="00A451C3">
      <w:pPr>
        <w:spacing w:after="0"/>
        <w:jc w:val="both"/>
        <w:rPr>
          <w:rFonts w:cs="Calibri"/>
          <w:bCs/>
        </w:rPr>
      </w:pPr>
      <w:r w:rsidRPr="00A451C3">
        <w:rPr>
          <w:rFonts w:cs="Calibri"/>
          <w:bCs/>
        </w:rPr>
        <w:t xml:space="preserve">W wyjątkowych przypadkach dopuszcza się betonowanie w temperaturze do </w:t>
      </w:r>
      <w:smartTag w:uri="urn:schemas-microsoft-com:office:smarttags" w:element="metricconverter">
        <w:smartTagPr>
          <w:attr w:name="ProductID" w:val="-5ﾰC"/>
        </w:smartTagPr>
        <w:r w:rsidRPr="00A451C3">
          <w:rPr>
            <w:rFonts w:cs="Calibri"/>
            <w:bCs/>
          </w:rPr>
          <w:t>-5°C</w:t>
        </w:r>
      </w:smartTag>
      <w:r w:rsidRPr="00A451C3">
        <w:rPr>
          <w:rFonts w:cs="Calibri"/>
          <w:bCs/>
        </w:rPr>
        <w:t>, jednak wymaga to zgody Inżyniera oraz zapewnienia mieszanki betonowej o temperaturze +</w:t>
      </w:r>
      <w:smartTag w:uri="urn:schemas-microsoft-com:office:smarttags" w:element="metricconverter">
        <w:smartTagPr>
          <w:attr w:name="ProductID" w:val="20ﾰC"/>
        </w:smartTagPr>
        <w:r w:rsidRPr="00A451C3">
          <w:rPr>
            <w:rFonts w:cs="Calibri"/>
            <w:bCs/>
          </w:rPr>
          <w:t>20°C</w:t>
        </w:r>
      </w:smartTag>
      <w:r w:rsidRPr="00A451C3">
        <w:rPr>
          <w:rFonts w:cs="Calibri"/>
          <w:bCs/>
        </w:rPr>
        <w:t xml:space="preserve"> w chwili układania i zabezpieczenia uformowanego elementu przed utratą ciepła w czasie co najmniej 7 dni.</w:t>
      </w:r>
    </w:p>
    <w:p w14:paraId="198853C0" w14:textId="77777777" w:rsidR="00A451C3" w:rsidRPr="00A451C3" w:rsidRDefault="00A451C3" w:rsidP="00A451C3">
      <w:pPr>
        <w:spacing w:after="0"/>
        <w:jc w:val="both"/>
        <w:rPr>
          <w:rFonts w:cs="Calibri"/>
          <w:b/>
          <w:bCs/>
        </w:rPr>
      </w:pPr>
      <w:r w:rsidRPr="00A451C3">
        <w:rPr>
          <w:rFonts w:cs="Calibri"/>
          <w:b/>
          <w:bCs/>
        </w:rPr>
        <w:t>Zabezpieczenie podczas opadów</w:t>
      </w:r>
    </w:p>
    <w:p w14:paraId="1E0199B6" w14:textId="77777777" w:rsidR="00A451C3" w:rsidRPr="00A451C3" w:rsidRDefault="00A451C3" w:rsidP="00A451C3">
      <w:pPr>
        <w:spacing w:after="0"/>
        <w:jc w:val="both"/>
        <w:rPr>
          <w:rFonts w:cs="Calibri"/>
          <w:bCs/>
        </w:rPr>
      </w:pPr>
      <w:r w:rsidRPr="00A451C3">
        <w:rPr>
          <w:rFonts w:cs="Calibri"/>
          <w:bCs/>
        </w:rPr>
        <w:t>Przed przystąpieniem do betonowania należy przygotować sposób postępowania na wypadek wystąpienia ulewnego deszczu. Konieczne jest przygotowanie odpowiedniej ilości osłon wodoszczelnych dla zabezpieczenia odkrytych powierzchni świeżego betonu.</w:t>
      </w:r>
    </w:p>
    <w:p w14:paraId="3E728DFE" w14:textId="77777777" w:rsidR="00A451C3" w:rsidRPr="00A451C3" w:rsidRDefault="00A451C3" w:rsidP="00A451C3">
      <w:pPr>
        <w:spacing w:after="0"/>
        <w:jc w:val="both"/>
        <w:rPr>
          <w:rFonts w:cs="Calibri"/>
          <w:b/>
          <w:bCs/>
        </w:rPr>
      </w:pPr>
      <w:r w:rsidRPr="00A451C3">
        <w:rPr>
          <w:rFonts w:cs="Calibri"/>
          <w:b/>
          <w:bCs/>
        </w:rPr>
        <w:t>Zabezpieczenie betonu przy niskich temperaturach otoczenia</w:t>
      </w:r>
    </w:p>
    <w:p w14:paraId="4BBE2FED" w14:textId="77777777" w:rsidR="00A451C3" w:rsidRPr="00A451C3" w:rsidRDefault="00A451C3" w:rsidP="00A451C3">
      <w:pPr>
        <w:spacing w:after="0"/>
        <w:jc w:val="both"/>
        <w:rPr>
          <w:rFonts w:cs="Calibri"/>
          <w:bCs/>
        </w:rPr>
      </w:pPr>
      <w:r w:rsidRPr="00A451C3">
        <w:rPr>
          <w:rFonts w:cs="Calibri"/>
          <w:bCs/>
        </w:rPr>
        <w:lastRenderedPageBreak/>
        <w:t xml:space="preserve">Przy niskich temperaturach otoczenia ułożony beton powinien być chroniony przed zamarznięciem przez okres pozwalający na uzyskanie wytrzymałości co najmniej 15 </w:t>
      </w:r>
      <w:proofErr w:type="spellStart"/>
      <w:r w:rsidRPr="00A451C3">
        <w:rPr>
          <w:rFonts w:cs="Calibri"/>
          <w:bCs/>
        </w:rPr>
        <w:t>MPa</w:t>
      </w:r>
      <w:proofErr w:type="spellEnd"/>
      <w:r w:rsidRPr="00A451C3">
        <w:rPr>
          <w:rFonts w:cs="Calibri"/>
          <w:bCs/>
        </w:rPr>
        <w:t>.</w:t>
      </w:r>
    </w:p>
    <w:p w14:paraId="5A416B17" w14:textId="77777777" w:rsidR="00A451C3" w:rsidRPr="00A451C3" w:rsidRDefault="00A451C3" w:rsidP="00A451C3">
      <w:pPr>
        <w:spacing w:after="0"/>
        <w:jc w:val="both"/>
        <w:rPr>
          <w:rFonts w:cs="Calibri"/>
          <w:bCs/>
        </w:rPr>
      </w:pPr>
      <w:r w:rsidRPr="00A451C3">
        <w:rPr>
          <w:rFonts w:cs="Calibri"/>
          <w:bCs/>
        </w:rPr>
        <w:t xml:space="preserve">Uzyskanie wytrzymałości 15 </w:t>
      </w:r>
      <w:proofErr w:type="spellStart"/>
      <w:r w:rsidRPr="00A451C3">
        <w:rPr>
          <w:rFonts w:cs="Calibri"/>
          <w:bCs/>
        </w:rPr>
        <w:t>MPa</w:t>
      </w:r>
      <w:proofErr w:type="spellEnd"/>
      <w:r w:rsidRPr="00A451C3">
        <w:rPr>
          <w:rFonts w:cs="Calibri"/>
          <w:bCs/>
        </w:rPr>
        <w:t xml:space="preserve"> powinno być zbadane na próbkach przechowywanych w takich samych warunkach jak zabetonowana konstrukcja.</w:t>
      </w:r>
    </w:p>
    <w:p w14:paraId="1AB642F3" w14:textId="77777777" w:rsidR="00A451C3" w:rsidRPr="00A451C3" w:rsidRDefault="00A451C3" w:rsidP="00A451C3">
      <w:pPr>
        <w:spacing w:after="0"/>
        <w:jc w:val="both"/>
        <w:rPr>
          <w:rFonts w:cs="Calibri"/>
          <w:bCs/>
        </w:rPr>
      </w:pPr>
      <w:r w:rsidRPr="00A451C3">
        <w:rPr>
          <w:rFonts w:cs="Calibri"/>
          <w:bCs/>
        </w:rPr>
        <w:t xml:space="preserve">Przy przewidywaniu spadku temperatury poniżej </w:t>
      </w:r>
      <w:smartTag w:uri="urn:schemas-microsoft-com:office:smarttags" w:element="metricconverter">
        <w:smartTagPr>
          <w:attr w:name="ProductID" w:val="0ﾰC"/>
        </w:smartTagPr>
        <w:r w:rsidRPr="00A451C3">
          <w:rPr>
            <w:rFonts w:cs="Calibri"/>
            <w:bCs/>
          </w:rPr>
          <w:t>0°C</w:t>
        </w:r>
      </w:smartTag>
      <w:r w:rsidRPr="00A451C3">
        <w:rPr>
          <w:rFonts w:cs="Calibri"/>
          <w:bCs/>
        </w:rPr>
        <w:t xml:space="preserve"> w okresie twardnienia betonu należy wcześniej podjąć działania organizacyjne pozwalające na odpowiednie osłonięcie i podgrzanie zabetonowanej konstrukcji.</w:t>
      </w:r>
    </w:p>
    <w:p w14:paraId="5D3325D7"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Pielęgnacja betonu</w:t>
      </w:r>
    </w:p>
    <w:p w14:paraId="0E3F807A" w14:textId="77777777" w:rsidR="00A451C3" w:rsidRPr="00A451C3" w:rsidRDefault="00A451C3" w:rsidP="00A451C3">
      <w:pPr>
        <w:spacing w:after="0"/>
        <w:jc w:val="both"/>
        <w:rPr>
          <w:rFonts w:cs="Calibri"/>
          <w:b/>
          <w:bCs/>
        </w:rPr>
      </w:pPr>
      <w:r w:rsidRPr="00A451C3">
        <w:rPr>
          <w:rFonts w:cs="Calibri"/>
          <w:b/>
          <w:bCs/>
        </w:rPr>
        <w:t>Materiały i sposoby pielęgnacji betonu.</w:t>
      </w:r>
    </w:p>
    <w:p w14:paraId="353073DB" w14:textId="77777777" w:rsidR="00A451C3" w:rsidRPr="00A451C3" w:rsidRDefault="00A451C3" w:rsidP="00A451C3">
      <w:pPr>
        <w:spacing w:after="0"/>
        <w:jc w:val="both"/>
        <w:rPr>
          <w:rFonts w:cs="Calibri"/>
          <w:bCs/>
        </w:rPr>
      </w:pPr>
      <w:r w:rsidRPr="00A451C3">
        <w:rPr>
          <w:rFonts w:cs="Calibri"/>
          <w:bCs/>
        </w:rPr>
        <w:t>Bezpośrednio po zakończeniu betonowania zaleca się przykrycie powierzchni betonu lekkimi osłonami wodoszczelnymi zapobiegającymi odparowaniu wody z betonu i chroniącymi beton przed deszczem i nasłonecznieniem.</w:t>
      </w:r>
    </w:p>
    <w:p w14:paraId="1ED9607E" w14:textId="77777777" w:rsidR="00A451C3" w:rsidRPr="00A451C3" w:rsidRDefault="00A451C3" w:rsidP="00A451C3">
      <w:pPr>
        <w:spacing w:after="0"/>
        <w:jc w:val="both"/>
        <w:rPr>
          <w:rFonts w:cs="Calibri"/>
          <w:bCs/>
        </w:rPr>
      </w:pPr>
      <w:r w:rsidRPr="00A451C3">
        <w:rPr>
          <w:rFonts w:cs="Calibri"/>
          <w:bCs/>
        </w:rPr>
        <w:t>Przy temperaturze otoczenia wyższej niż +</w:t>
      </w:r>
      <w:smartTag w:uri="urn:schemas-microsoft-com:office:smarttags" w:element="metricconverter">
        <w:smartTagPr>
          <w:attr w:name="ProductID" w:val="5ﾰC"/>
        </w:smartTagPr>
        <w:r w:rsidRPr="00A451C3">
          <w:rPr>
            <w:rFonts w:cs="Calibri"/>
            <w:bCs/>
          </w:rPr>
          <w:t>5°C</w:t>
        </w:r>
      </w:smartTag>
      <w:r w:rsidRPr="00A451C3">
        <w:rPr>
          <w:rFonts w:cs="Calibri"/>
          <w:bCs/>
        </w:rPr>
        <w:t xml:space="preserve"> należy nie później niż po 12 godzinach od zakończenia betonowania rozpocząć pielęgnację wilgotnościową betonu i prowadzić ją co najmniej przez 7 dni (przez polewanie co najmniej 3 razy na dobę).</w:t>
      </w:r>
    </w:p>
    <w:p w14:paraId="145783A3" w14:textId="77777777" w:rsidR="00A451C3" w:rsidRPr="00A451C3" w:rsidRDefault="00A451C3" w:rsidP="00A451C3">
      <w:pPr>
        <w:spacing w:after="0"/>
        <w:jc w:val="both"/>
        <w:rPr>
          <w:rFonts w:cs="Calibri"/>
          <w:bCs/>
        </w:rPr>
      </w:pPr>
      <w:r w:rsidRPr="00A451C3">
        <w:rPr>
          <w:rFonts w:cs="Calibri"/>
          <w:bCs/>
        </w:rPr>
        <w:t>Nanoszenie błon nieprzepuszczających wody jest dopuszczalne tylko wtedy, gdy beton nie będzie się łączył z następną warstwą konstrukcji monolitycznej, a także gdy nie są stawiane specjalne wymagania odnośnie jakości pielęgnowanej powierzchni.</w:t>
      </w:r>
    </w:p>
    <w:p w14:paraId="7C61D117" w14:textId="77777777" w:rsidR="00A451C3" w:rsidRPr="00A451C3" w:rsidRDefault="00A451C3" w:rsidP="00A451C3">
      <w:pPr>
        <w:spacing w:after="0"/>
        <w:jc w:val="both"/>
        <w:rPr>
          <w:rFonts w:cs="Calibri"/>
          <w:bCs/>
        </w:rPr>
      </w:pPr>
      <w:r w:rsidRPr="00A451C3">
        <w:rPr>
          <w:rFonts w:cs="Calibri"/>
          <w:bCs/>
        </w:rPr>
        <w:t>Woda do polewania betonu powinna spełniać wymagania normy PN-EN 1008:2004.</w:t>
      </w:r>
    </w:p>
    <w:p w14:paraId="4F9F4721" w14:textId="77777777" w:rsidR="00A451C3" w:rsidRPr="00A451C3" w:rsidRDefault="00A451C3" w:rsidP="00A451C3">
      <w:pPr>
        <w:spacing w:after="0"/>
        <w:jc w:val="both"/>
        <w:rPr>
          <w:rFonts w:cs="Calibri"/>
          <w:bCs/>
        </w:rPr>
      </w:pPr>
      <w:r w:rsidRPr="00A451C3">
        <w:rPr>
          <w:rFonts w:cs="Calibri"/>
          <w:bCs/>
        </w:rPr>
        <w:t>W czasie dojrzewania betonu elementy powinny być chronione przed uderzenia". i drganiami.</w:t>
      </w:r>
    </w:p>
    <w:p w14:paraId="2C78ACDC" w14:textId="77777777" w:rsidR="00A451C3" w:rsidRPr="00A451C3" w:rsidRDefault="00A451C3" w:rsidP="00A451C3">
      <w:pPr>
        <w:spacing w:after="0"/>
        <w:jc w:val="both"/>
        <w:rPr>
          <w:rFonts w:cs="Calibri"/>
          <w:b/>
          <w:bCs/>
        </w:rPr>
      </w:pPr>
      <w:r w:rsidRPr="00A451C3">
        <w:rPr>
          <w:rFonts w:cs="Calibri"/>
          <w:b/>
          <w:bCs/>
        </w:rPr>
        <w:t>Okres pielęgnacji</w:t>
      </w:r>
    </w:p>
    <w:p w14:paraId="2C8C2EAB" w14:textId="77777777" w:rsidR="00A451C3" w:rsidRPr="00A451C3" w:rsidRDefault="00A451C3" w:rsidP="00A451C3">
      <w:pPr>
        <w:spacing w:after="0"/>
        <w:jc w:val="both"/>
        <w:rPr>
          <w:rFonts w:cs="Calibri"/>
          <w:bCs/>
        </w:rPr>
      </w:pPr>
      <w:r w:rsidRPr="00A451C3">
        <w:rPr>
          <w:rFonts w:cs="Calibri"/>
          <w:bCs/>
        </w:rPr>
        <w:t>Ułożony beton należy utrzymywać w stałej wilgotności przez okres co najmniej 7 dni. Polewanie betonu twardniejącego należy rozpocząć po 24 godzinach od zabetonowania.</w:t>
      </w:r>
    </w:p>
    <w:p w14:paraId="18E7192F" w14:textId="77777777" w:rsidR="00A451C3" w:rsidRPr="00A451C3" w:rsidRDefault="00A451C3" w:rsidP="00A451C3">
      <w:pPr>
        <w:spacing w:after="0"/>
        <w:jc w:val="both"/>
        <w:rPr>
          <w:rFonts w:cs="Calibri"/>
          <w:bCs/>
        </w:rPr>
      </w:pPr>
      <w:r w:rsidRPr="00A451C3">
        <w:rPr>
          <w:rFonts w:cs="Calibri"/>
          <w:bCs/>
        </w:rPr>
        <w:t>Rozformowanie konstrukcji może nastąpić po osiągnięciu przez beton wytrzyma</w:t>
      </w:r>
      <w:r w:rsidRPr="00A451C3">
        <w:rPr>
          <w:rFonts w:cs="Calibri"/>
          <w:bCs/>
        </w:rPr>
        <w:softHyphen/>
        <w:t>łości rozformowania dla konstrukcji monolitycznych (zgodnie z normą PN-63 r -06251) lub wytrzymałości manipulacyjnej dla prefabrykatów.</w:t>
      </w:r>
    </w:p>
    <w:p w14:paraId="74BDE95A" w14:textId="77777777" w:rsidR="00A451C3" w:rsidRPr="00A451C3" w:rsidRDefault="00A451C3" w:rsidP="00DC5CA3">
      <w:pPr>
        <w:pStyle w:val="Akapitzlist"/>
        <w:numPr>
          <w:ilvl w:val="2"/>
          <w:numId w:val="1"/>
        </w:numPr>
        <w:spacing w:after="0"/>
        <w:jc w:val="both"/>
        <w:rPr>
          <w:rFonts w:cs="Calibri"/>
          <w:b/>
          <w:bCs/>
        </w:rPr>
      </w:pPr>
      <w:r w:rsidRPr="00A451C3">
        <w:rPr>
          <w:rFonts w:cs="Calibri"/>
          <w:b/>
          <w:bCs/>
        </w:rPr>
        <w:t>Wykańczanie powierzchni betonu.</w:t>
      </w:r>
    </w:p>
    <w:p w14:paraId="34AE1443" w14:textId="77777777" w:rsidR="00A451C3" w:rsidRPr="00A451C3" w:rsidRDefault="00A451C3" w:rsidP="00A451C3">
      <w:pPr>
        <w:spacing w:after="0"/>
        <w:jc w:val="both"/>
        <w:rPr>
          <w:rFonts w:cs="Calibri"/>
          <w:b/>
          <w:bCs/>
        </w:rPr>
      </w:pPr>
      <w:r w:rsidRPr="00A451C3">
        <w:rPr>
          <w:rFonts w:cs="Calibri"/>
          <w:b/>
          <w:bCs/>
        </w:rPr>
        <w:t>Równość powierzchni i tolerancji.</w:t>
      </w:r>
    </w:p>
    <w:p w14:paraId="154C1DD7" w14:textId="77777777" w:rsidR="00A451C3" w:rsidRPr="00A451C3" w:rsidRDefault="00A451C3" w:rsidP="00A451C3">
      <w:pPr>
        <w:spacing w:after="0"/>
        <w:jc w:val="both"/>
        <w:rPr>
          <w:rFonts w:cs="Calibri"/>
          <w:bCs/>
        </w:rPr>
      </w:pPr>
      <w:r w:rsidRPr="00A451C3">
        <w:rPr>
          <w:rFonts w:cs="Calibri"/>
          <w:bCs/>
        </w:rPr>
        <w:t>Dla powierzchni betonów w konstrukcji nośnej obowiązują następujące wymagani;</w:t>
      </w:r>
    </w:p>
    <w:p w14:paraId="2421903B" w14:textId="77777777" w:rsidR="00A451C3" w:rsidRPr="00A451C3" w:rsidRDefault="00A451C3" w:rsidP="00A451C3">
      <w:pPr>
        <w:spacing w:after="0"/>
        <w:jc w:val="both"/>
        <w:rPr>
          <w:rFonts w:cs="Calibri"/>
          <w:bCs/>
        </w:rPr>
      </w:pPr>
      <w:r w:rsidRPr="00A451C3">
        <w:rPr>
          <w:rFonts w:cs="Calibri"/>
          <w:bCs/>
        </w:rPr>
        <w:t>- wszystkie betonowe powierzchnie muszą być gładkie i równe, bez zagłębień  i nie mieć-ziarnami kruszywa, przełomów i wybrzuszeń ponad powierzchnię,</w:t>
      </w:r>
    </w:p>
    <w:p w14:paraId="36A6FA15" w14:textId="77777777" w:rsidR="00A451C3" w:rsidRPr="00A451C3" w:rsidRDefault="00A451C3" w:rsidP="00A451C3">
      <w:pPr>
        <w:spacing w:after="0"/>
        <w:jc w:val="both"/>
        <w:rPr>
          <w:rFonts w:cs="Calibri"/>
          <w:bCs/>
        </w:rPr>
      </w:pPr>
      <w:r w:rsidRPr="00A451C3">
        <w:rPr>
          <w:rFonts w:cs="Calibri"/>
          <w:bCs/>
        </w:rPr>
        <w:t>- pęknięcia są niedopuszczalne,</w:t>
      </w:r>
    </w:p>
    <w:p w14:paraId="3ED4B884" w14:textId="77777777" w:rsidR="00A451C3" w:rsidRPr="00A451C3" w:rsidRDefault="00A451C3" w:rsidP="00A451C3">
      <w:pPr>
        <w:spacing w:after="0"/>
        <w:jc w:val="both"/>
        <w:rPr>
          <w:rFonts w:cs="Calibri"/>
          <w:bCs/>
        </w:rPr>
      </w:pPr>
      <w:r w:rsidRPr="00A451C3">
        <w:rPr>
          <w:rFonts w:cs="Calibri"/>
          <w:bCs/>
        </w:rPr>
        <w:t>- rysy powierzchniowe skurczowe są dopuszczalne pod warunkiem, że zostaje zachowana otulina zbrojenia betonu min. 2,5cm,</w:t>
      </w:r>
    </w:p>
    <w:p w14:paraId="01B78556" w14:textId="77777777" w:rsidR="00A451C3" w:rsidRPr="00A451C3" w:rsidRDefault="00A451C3" w:rsidP="00A451C3">
      <w:pPr>
        <w:spacing w:after="0"/>
        <w:jc w:val="both"/>
        <w:rPr>
          <w:rFonts w:cs="Calibri"/>
          <w:bCs/>
        </w:rPr>
      </w:pPr>
      <w:r w:rsidRPr="00A451C3">
        <w:rPr>
          <w:rFonts w:cs="Calibri"/>
          <w:bCs/>
        </w:rPr>
        <w:t xml:space="preserve">- pustki, raki i </w:t>
      </w:r>
      <w:proofErr w:type="spellStart"/>
      <w:r w:rsidRPr="00A451C3">
        <w:rPr>
          <w:rFonts w:cs="Calibri"/>
          <w:bCs/>
        </w:rPr>
        <w:t>wykruszyny</w:t>
      </w:r>
      <w:proofErr w:type="spellEnd"/>
      <w:r w:rsidRPr="00A451C3">
        <w:rPr>
          <w:rFonts w:cs="Calibri"/>
          <w:bCs/>
        </w:rPr>
        <w:t xml:space="preserve"> są dopuszczalne pod warunkiem, że otulenie zbrojenia betonu będzie nie mniejsze niż 2,5cm, a powierzchnia na której występują nie większa niż 0,5% powierzchni odpowiedniej ściany,</w:t>
      </w:r>
    </w:p>
    <w:p w14:paraId="7882DE80" w14:textId="77777777" w:rsidR="00A451C3" w:rsidRPr="00A451C3" w:rsidRDefault="00A451C3" w:rsidP="00A451C3">
      <w:pPr>
        <w:spacing w:after="0"/>
        <w:jc w:val="both"/>
        <w:rPr>
          <w:rFonts w:cs="Calibri"/>
          <w:bCs/>
        </w:rPr>
      </w:pPr>
      <w:r w:rsidRPr="00A451C3">
        <w:rPr>
          <w:rFonts w:cs="Calibri"/>
          <w:bCs/>
        </w:rPr>
        <w:t xml:space="preserve">- równość powierzchni ustroju nośnego przeznaczonej pod izolacje powinny odpowiadać wymaganiom PN-69/B-10260, tj. wypukłości i wgłębienia  powinny być większe niż </w:t>
      </w:r>
      <w:smartTag w:uri="urn:schemas-microsoft-com:office:smarttags" w:element="metricconverter">
        <w:smartTagPr>
          <w:attr w:name="ProductID" w:val="2 mm"/>
        </w:smartTagPr>
        <w:r w:rsidRPr="00A451C3">
          <w:rPr>
            <w:rFonts w:cs="Calibri"/>
            <w:bCs/>
          </w:rPr>
          <w:t>2 mm</w:t>
        </w:r>
      </w:smartTag>
      <w:r w:rsidRPr="00A451C3">
        <w:rPr>
          <w:rFonts w:cs="Calibri"/>
          <w:bCs/>
        </w:rPr>
        <w:t>,</w:t>
      </w:r>
    </w:p>
    <w:p w14:paraId="1F632AE3" w14:textId="77777777" w:rsidR="00A451C3" w:rsidRPr="00B05EEC" w:rsidRDefault="00A451C3" w:rsidP="00DC5CA3">
      <w:pPr>
        <w:pStyle w:val="Akapitzlist"/>
        <w:numPr>
          <w:ilvl w:val="2"/>
          <w:numId w:val="1"/>
        </w:numPr>
        <w:spacing w:after="0"/>
        <w:jc w:val="both"/>
        <w:rPr>
          <w:rFonts w:cs="Calibri"/>
          <w:b/>
          <w:bCs/>
        </w:rPr>
      </w:pPr>
      <w:r w:rsidRPr="00B05EEC">
        <w:rPr>
          <w:rFonts w:cs="Calibri"/>
          <w:b/>
          <w:bCs/>
        </w:rPr>
        <w:t>Wykonanie podbudowy betonu.</w:t>
      </w:r>
    </w:p>
    <w:p w14:paraId="3A71057B" w14:textId="77777777" w:rsidR="00A451C3" w:rsidRPr="00A451C3" w:rsidRDefault="00A451C3" w:rsidP="00A451C3">
      <w:pPr>
        <w:spacing w:after="0"/>
        <w:jc w:val="both"/>
        <w:rPr>
          <w:rFonts w:cs="Calibri"/>
          <w:bCs/>
        </w:rPr>
      </w:pPr>
      <w:r w:rsidRPr="00A451C3">
        <w:rPr>
          <w:rFonts w:cs="Calibri"/>
          <w:bCs/>
        </w:rPr>
        <w:t>Przed przystąpieniem do układania podbudowy betonu należy sprawdzić podłoże pod względem nośności założonej w projekcie technicznym.</w:t>
      </w:r>
    </w:p>
    <w:p w14:paraId="1CEC104F" w14:textId="77777777" w:rsidR="00A451C3" w:rsidRPr="00A451C3" w:rsidRDefault="00A451C3" w:rsidP="00A451C3">
      <w:pPr>
        <w:spacing w:after="0"/>
        <w:jc w:val="both"/>
        <w:rPr>
          <w:rFonts w:cs="Calibri"/>
          <w:bCs/>
        </w:rPr>
      </w:pPr>
      <w:r w:rsidRPr="00A451C3">
        <w:rPr>
          <w:rFonts w:cs="Calibri"/>
          <w:bCs/>
        </w:rPr>
        <w:t>Podłoże winno być równe, czyste i odwodnione.</w:t>
      </w:r>
    </w:p>
    <w:p w14:paraId="273A6B43" w14:textId="77777777" w:rsidR="00A451C3" w:rsidRPr="00A451C3" w:rsidRDefault="00A451C3" w:rsidP="00A451C3">
      <w:pPr>
        <w:spacing w:after="0"/>
        <w:jc w:val="both"/>
        <w:rPr>
          <w:rFonts w:cs="Calibri"/>
          <w:bCs/>
        </w:rPr>
      </w:pPr>
      <w:r w:rsidRPr="00A451C3">
        <w:rPr>
          <w:rFonts w:cs="Calibri"/>
          <w:bCs/>
        </w:rPr>
        <w:t>Beton winien być rozkładany w miarę możliwości w sposób ciągły z zachowaniem kontroli grubości oraz rzędnych wg projektu technicznego.</w:t>
      </w:r>
    </w:p>
    <w:p w14:paraId="0731A489" w14:textId="77777777" w:rsidR="00AC274D" w:rsidRPr="00B7457B" w:rsidRDefault="00AC274D" w:rsidP="00DC5CA3">
      <w:pPr>
        <w:pStyle w:val="Akapitzlist"/>
        <w:numPr>
          <w:ilvl w:val="2"/>
          <w:numId w:val="1"/>
        </w:numPr>
        <w:spacing w:after="0"/>
        <w:jc w:val="both"/>
        <w:rPr>
          <w:rFonts w:cs="Calibri"/>
          <w:b/>
          <w:bCs/>
        </w:rPr>
      </w:pPr>
      <w:r w:rsidRPr="00B7457B">
        <w:rPr>
          <w:rFonts w:cs="Calibri"/>
          <w:b/>
          <w:bCs/>
        </w:rPr>
        <w:lastRenderedPageBreak/>
        <w:t>Usuwanie deskowania</w:t>
      </w:r>
    </w:p>
    <w:p w14:paraId="1681E248" w14:textId="77777777" w:rsidR="00AC274D" w:rsidRDefault="00AC274D" w:rsidP="00AC274D">
      <w:pPr>
        <w:spacing w:after="0"/>
        <w:jc w:val="both"/>
        <w:rPr>
          <w:rFonts w:cs="Calibri"/>
          <w:bCs/>
        </w:rPr>
      </w:pPr>
      <w:r w:rsidRPr="002B1BE8">
        <w:rPr>
          <w:rFonts w:cs="Calibri"/>
          <w:bCs/>
        </w:rPr>
        <w:t>Całkowite rozmontowanie konstrukcji mo</w:t>
      </w:r>
      <w:r>
        <w:rPr>
          <w:rFonts w:cs="Calibri"/>
          <w:bCs/>
        </w:rPr>
        <w:t>ż</w:t>
      </w:r>
      <w:r w:rsidRPr="002B1BE8">
        <w:rPr>
          <w:rFonts w:cs="Calibri"/>
          <w:bCs/>
        </w:rPr>
        <w:t>e nastąpić po uprzednim ustaleniu rzeczywistej wytrzymałości betonu</w:t>
      </w:r>
      <w:r>
        <w:rPr>
          <w:rFonts w:cs="Calibri"/>
          <w:bCs/>
        </w:rPr>
        <w:t xml:space="preserve"> </w:t>
      </w:r>
      <w:r w:rsidRPr="002B1BE8">
        <w:rPr>
          <w:rFonts w:cs="Calibri"/>
          <w:bCs/>
        </w:rPr>
        <w:t>określonej na próbkach przechowywanych w warunkach najbardziej zbliżonych do warunków dojrzewania</w:t>
      </w:r>
      <w:r>
        <w:rPr>
          <w:rFonts w:cs="Calibri"/>
          <w:bCs/>
        </w:rPr>
        <w:t xml:space="preserve"> </w:t>
      </w:r>
      <w:r w:rsidRPr="002B1BE8">
        <w:rPr>
          <w:rFonts w:cs="Calibri"/>
          <w:bCs/>
        </w:rPr>
        <w:t>betonu w konstrukcji.</w:t>
      </w:r>
    </w:p>
    <w:p w14:paraId="3F340A78" w14:textId="77777777" w:rsidR="00152A00" w:rsidRDefault="00152A00" w:rsidP="006B037E">
      <w:pPr>
        <w:spacing w:after="0"/>
        <w:jc w:val="both"/>
        <w:rPr>
          <w:rFonts w:cs="Calibri"/>
          <w:bCs/>
        </w:rPr>
      </w:pPr>
    </w:p>
    <w:p w14:paraId="6C6BA013"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Kontrola jakości.</w:t>
      </w:r>
    </w:p>
    <w:p w14:paraId="77E8F07C" w14:textId="77777777" w:rsidR="006B037E" w:rsidRDefault="006B037E" w:rsidP="006B037E">
      <w:pPr>
        <w:spacing w:after="0"/>
        <w:jc w:val="both"/>
        <w:rPr>
          <w:rFonts w:cs="Calibri"/>
          <w:bCs/>
        </w:rPr>
      </w:pPr>
      <w:r w:rsidRPr="006B037E">
        <w:rPr>
          <w:rFonts w:cs="Calibri"/>
          <w:bCs/>
        </w:rPr>
        <w:t>Kontrola jakości wykonania zbrojenia polega na sprawdzeniu zgodności z projektem oraz</w:t>
      </w:r>
      <w:r>
        <w:rPr>
          <w:rFonts w:cs="Calibri"/>
          <w:bCs/>
        </w:rPr>
        <w:t xml:space="preserve"> </w:t>
      </w:r>
      <w:r w:rsidRPr="006B037E">
        <w:rPr>
          <w:rFonts w:cs="Calibri"/>
          <w:bCs/>
        </w:rPr>
        <w:t>z podanymi wyżej wymaganiami. Zbrojenie podlega odbiorowi przed betonowaniem.</w:t>
      </w:r>
    </w:p>
    <w:p w14:paraId="3E5EC15A" w14:textId="77777777" w:rsidR="006B037E" w:rsidRDefault="006B037E" w:rsidP="006B037E">
      <w:pPr>
        <w:spacing w:after="0"/>
        <w:jc w:val="both"/>
        <w:rPr>
          <w:rFonts w:cs="Calibri"/>
          <w:bCs/>
        </w:rPr>
      </w:pPr>
      <w:r w:rsidRPr="006B037E">
        <w:rPr>
          <w:rFonts w:cs="Calibri"/>
          <w:bCs/>
        </w:rPr>
        <w:t>Kontrola jakości wykonania betonów polega na sprawdzeniu zgodności z projektem i: podanymi wyżej wymaganiami. Roboty podlegają odbiorowi.</w:t>
      </w:r>
    </w:p>
    <w:p w14:paraId="542C80B9" w14:textId="77777777" w:rsidR="00284EF9" w:rsidRPr="00284EF9" w:rsidRDefault="00284EF9" w:rsidP="00DC5CA3">
      <w:pPr>
        <w:pStyle w:val="Akapitzlist"/>
        <w:numPr>
          <w:ilvl w:val="1"/>
          <w:numId w:val="1"/>
        </w:numPr>
        <w:spacing w:after="0"/>
        <w:jc w:val="both"/>
        <w:rPr>
          <w:rFonts w:cs="Calibri"/>
          <w:b/>
          <w:bCs/>
        </w:rPr>
      </w:pPr>
      <w:r w:rsidRPr="00284EF9">
        <w:rPr>
          <w:rFonts w:cs="Calibri"/>
          <w:b/>
          <w:bCs/>
        </w:rPr>
        <w:t>Badania w czasie wykonywania robót</w:t>
      </w:r>
    </w:p>
    <w:p w14:paraId="4A5309AE" w14:textId="77777777" w:rsidR="00284EF9" w:rsidRPr="00284EF9" w:rsidRDefault="00284EF9" w:rsidP="00284EF9">
      <w:pPr>
        <w:spacing w:after="0"/>
        <w:jc w:val="both"/>
        <w:rPr>
          <w:rFonts w:cs="Calibri"/>
          <w:bCs/>
        </w:rPr>
      </w:pPr>
      <w:r w:rsidRPr="00284EF9">
        <w:rPr>
          <w:rFonts w:cs="Calibri"/>
          <w:bCs/>
        </w:rPr>
        <w:t>Przy odbiorze stali dostarczonej na budowę, należy przeprowadzić następujące badania:</w:t>
      </w:r>
    </w:p>
    <w:p w14:paraId="6EA73532" w14:textId="77777777" w:rsidR="00284EF9" w:rsidRPr="00284EF9" w:rsidRDefault="00284EF9" w:rsidP="00284EF9">
      <w:pPr>
        <w:spacing w:after="0"/>
        <w:jc w:val="both"/>
        <w:rPr>
          <w:rFonts w:cs="Calibri"/>
          <w:bCs/>
        </w:rPr>
      </w:pPr>
      <w:r w:rsidRPr="00284EF9">
        <w:rPr>
          <w:rFonts w:cs="Calibri"/>
          <w:bCs/>
        </w:rPr>
        <w:t>_ sprawdzenie zgodności przywieszek z zamówieniem,</w:t>
      </w:r>
    </w:p>
    <w:p w14:paraId="1FB0A8F7" w14:textId="5953B1DB" w:rsidR="00284EF9" w:rsidRPr="00284EF9" w:rsidRDefault="00284EF9" w:rsidP="00284EF9">
      <w:pPr>
        <w:spacing w:after="0"/>
        <w:jc w:val="both"/>
        <w:rPr>
          <w:rFonts w:cs="Calibri"/>
          <w:bCs/>
        </w:rPr>
      </w:pPr>
      <w:r w:rsidRPr="00284EF9">
        <w:rPr>
          <w:rFonts w:cs="Calibri"/>
          <w:bCs/>
        </w:rPr>
        <w:t>_ sprawdzenie stanu powierzchni,</w:t>
      </w:r>
    </w:p>
    <w:p w14:paraId="574ED17D" w14:textId="7ADAFD0A" w:rsidR="00284EF9" w:rsidRPr="00284EF9" w:rsidRDefault="00284EF9" w:rsidP="00284EF9">
      <w:pPr>
        <w:spacing w:after="0"/>
        <w:jc w:val="both"/>
        <w:rPr>
          <w:rFonts w:cs="Calibri"/>
          <w:bCs/>
        </w:rPr>
      </w:pPr>
      <w:r w:rsidRPr="00284EF9">
        <w:rPr>
          <w:rFonts w:cs="Calibri"/>
          <w:bCs/>
        </w:rPr>
        <w:t>_ sprawdzenie wymiarów,</w:t>
      </w:r>
    </w:p>
    <w:p w14:paraId="05C78660" w14:textId="3E2A6AB5" w:rsidR="00284EF9" w:rsidRPr="00284EF9" w:rsidRDefault="00284EF9" w:rsidP="00284EF9">
      <w:pPr>
        <w:spacing w:after="0"/>
        <w:jc w:val="both"/>
        <w:rPr>
          <w:rFonts w:cs="Calibri"/>
          <w:bCs/>
        </w:rPr>
      </w:pPr>
      <w:r w:rsidRPr="00284EF9">
        <w:rPr>
          <w:rFonts w:cs="Calibri"/>
          <w:bCs/>
        </w:rPr>
        <w:t>_ sprawdzenie masy,</w:t>
      </w:r>
    </w:p>
    <w:p w14:paraId="527ABBCF" w14:textId="7C4C882D" w:rsidR="00284EF9" w:rsidRPr="00284EF9" w:rsidRDefault="00284EF9" w:rsidP="00284EF9">
      <w:pPr>
        <w:spacing w:after="0"/>
        <w:jc w:val="both"/>
        <w:rPr>
          <w:rFonts w:cs="Calibri"/>
          <w:bCs/>
        </w:rPr>
      </w:pPr>
      <w:r w:rsidRPr="00284EF9">
        <w:rPr>
          <w:rFonts w:cs="Calibri"/>
          <w:bCs/>
        </w:rPr>
        <w:t>_ próba rozciągania,</w:t>
      </w:r>
    </w:p>
    <w:p w14:paraId="4983D11C" w14:textId="1F11322B" w:rsidR="00284EF9" w:rsidRPr="00284EF9" w:rsidRDefault="00284EF9" w:rsidP="00284EF9">
      <w:pPr>
        <w:spacing w:after="0"/>
        <w:jc w:val="both"/>
        <w:rPr>
          <w:rFonts w:cs="Calibri"/>
          <w:bCs/>
        </w:rPr>
      </w:pPr>
      <w:r w:rsidRPr="00284EF9">
        <w:rPr>
          <w:rFonts w:cs="Calibri"/>
          <w:bCs/>
        </w:rPr>
        <w:t>_ próba zginania na zimno.</w:t>
      </w:r>
    </w:p>
    <w:p w14:paraId="60FA0200" w14:textId="77777777" w:rsidR="00284EF9" w:rsidRPr="00284EF9" w:rsidRDefault="00284EF9" w:rsidP="00284EF9">
      <w:pPr>
        <w:spacing w:after="0"/>
        <w:jc w:val="both"/>
        <w:rPr>
          <w:rFonts w:cs="Calibri"/>
          <w:bCs/>
        </w:rPr>
      </w:pPr>
      <w:r w:rsidRPr="00284EF9">
        <w:rPr>
          <w:rFonts w:cs="Calibri"/>
          <w:bCs/>
        </w:rPr>
        <w:t>Do badania należy pobrać minimum 3 próbki z każdego kręgu lub wiązki. Próbki należy</w:t>
      </w:r>
      <w:r w:rsidR="001E742E">
        <w:rPr>
          <w:rFonts w:cs="Calibri"/>
          <w:bCs/>
        </w:rPr>
        <w:t xml:space="preserve"> </w:t>
      </w:r>
      <w:r w:rsidRPr="00284EF9">
        <w:rPr>
          <w:rFonts w:cs="Calibri"/>
          <w:bCs/>
        </w:rPr>
        <w:t>pobrać z różnych miejsc kręgu. Jakość prętów należy ocenić pozytywnie, jeżeli wszystkie badania</w:t>
      </w:r>
      <w:r w:rsidR="001E742E">
        <w:rPr>
          <w:rFonts w:cs="Calibri"/>
          <w:bCs/>
        </w:rPr>
        <w:t xml:space="preserve"> </w:t>
      </w:r>
      <w:r w:rsidRPr="00284EF9">
        <w:rPr>
          <w:rFonts w:cs="Calibri"/>
          <w:bCs/>
        </w:rPr>
        <w:t>odbiorcze dadzą wynik pozytywny.</w:t>
      </w:r>
    </w:p>
    <w:p w14:paraId="722BAA3D" w14:textId="77777777" w:rsidR="00284EF9" w:rsidRPr="00284EF9" w:rsidRDefault="00284EF9" w:rsidP="00284EF9">
      <w:pPr>
        <w:spacing w:after="0"/>
        <w:jc w:val="both"/>
        <w:rPr>
          <w:rFonts w:cs="Calibri"/>
          <w:bCs/>
        </w:rPr>
      </w:pPr>
      <w:r w:rsidRPr="00284EF9">
        <w:rPr>
          <w:rFonts w:cs="Calibri"/>
          <w:bCs/>
        </w:rPr>
        <w:t>Niezależnie od tolerancji dla zbrojenia obowiązują następujące wymagania:</w:t>
      </w:r>
    </w:p>
    <w:p w14:paraId="102EEA1D" w14:textId="77777777" w:rsidR="00284EF9" w:rsidRPr="00284EF9" w:rsidRDefault="00284EF9" w:rsidP="00284EF9">
      <w:pPr>
        <w:spacing w:after="0"/>
        <w:jc w:val="both"/>
        <w:rPr>
          <w:rFonts w:cs="Calibri"/>
          <w:bCs/>
        </w:rPr>
      </w:pPr>
      <w:r w:rsidRPr="00284EF9">
        <w:rPr>
          <w:rFonts w:cs="Calibri"/>
          <w:bCs/>
        </w:rPr>
        <w:t>_ dopuszczalne odchylenie strzemion od linii prostopadłej do zbrojenia głównego nie</w:t>
      </w:r>
      <w:r w:rsidR="001E742E">
        <w:rPr>
          <w:rFonts w:cs="Calibri"/>
          <w:bCs/>
        </w:rPr>
        <w:t xml:space="preserve"> </w:t>
      </w:r>
      <w:r w:rsidRPr="00284EF9">
        <w:rPr>
          <w:rFonts w:cs="Calibri"/>
          <w:bCs/>
        </w:rPr>
        <w:t>powinno przekraczać 3%,</w:t>
      </w:r>
    </w:p>
    <w:p w14:paraId="72D80910" w14:textId="77777777" w:rsidR="00284EF9" w:rsidRPr="00284EF9" w:rsidRDefault="00284EF9" w:rsidP="00284EF9">
      <w:pPr>
        <w:spacing w:after="0"/>
        <w:jc w:val="both"/>
        <w:rPr>
          <w:rFonts w:cs="Calibri"/>
          <w:bCs/>
        </w:rPr>
      </w:pPr>
      <w:r w:rsidRPr="00284EF9">
        <w:rPr>
          <w:rFonts w:cs="Calibri"/>
          <w:bCs/>
        </w:rPr>
        <w:t>_ liczba uszkodzonych skrzyżowań na jednym pręcie nie może przekraczać 25% ogólnej ich</w:t>
      </w:r>
      <w:r w:rsidR="001E742E">
        <w:rPr>
          <w:rFonts w:cs="Calibri"/>
          <w:bCs/>
        </w:rPr>
        <w:t xml:space="preserve"> </w:t>
      </w:r>
      <w:r w:rsidRPr="00284EF9">
        <w:rPr>
          <w:rFonts w:cs="Calibri"/>
          <w:bCs/>
        </w:rPr>
        <w:t>liczby na tym pręcie,</w:t>
      </w:r>
    </w:p>
    <w:p w14:paraId="64E0A34C" w14:textId="77777777" w:rsidR="00284EF9" w:rsidRPr="00284EF9" w:rsidRDefault="00284EF9" w:rsidP="00284EF9">
      <w:pPr>
        <w:spacing w:after="0"/>
        <w:jc w:val="both"/>
        <w:rPr>
          <w:rFonts w:cs="Calibri"/>
          <w:bCs/>
        </w:rPr>
      </w:pPr>
      <w:r w:rsidRPr="00284EF9">
        <w:rPr>
          <w:rFonts w:cs="Calibri"/>
          <w:bCs/>
        </w:rPr>
        <w:t>_ różnica w rozstawie między prętami głównymi nie powinna przekraczać ±0,5 cm,</w:t>
      </w:r>
    </w:p>
    <w:p w14:paraId="18E57773" w14:textId="77777777" w:rsidR="00284EF9" w:rsidRDefault="00284EF9" w:rsidP="00284EF9">
      <w:pPr>
        <w:spacing w:after="0"/>
        <w:jc w:val="both"/>
        <w:rPr>
          <w:rFonts w:cs="Calibri"/>
          <w:bCs/>
        </w:rPr>
      </w:pPr>
      <w:r w:rsidRPr="00284EF9">
        <w:rPr>
          <w:rFonts w:cs="Calibri"/>
          <w:bCs/>
        </w:rPr>
        <w:t>_ różnice w rozstawie strzemion nie powinny przekraczać ±2 cm.</w:t>
      </w:r>
    </w:p>
    <w:p w14:paraId="36242C47" w14:textId="77777777" w:rsidR="003E2F71" w:rsidRPr="003E2F71" w:rsidRDefault="003E2F71" w:rsidP="00DC5CA3">
      <w:pPr>
        <w:pStyle w:val="Akapitzlist"/>
        <w:numPr>
          <w:ilvl w:val="1"/>
          <w:numId w:val="1"/>
        </w:numPr>
        <w:spacing w:after="0"/>
        <w:jc w:val="both"/>
        <w:rPr>
          <w:rFonts w:cs="Calibri"/>
          <w:b/>
          <w:bCs/>
        </w:rPr>
      </w:pPr>
      <w:r w:rsidRPr="003E2F71">
        <w:rPr>
          <w:rFonts w:cs="Calibri"/>
          <w:b/>
          <w:bCs/>
        </w:rPr>
        <w:t>Badania kontrolne betonu.</w:t>
      </w:r>
    </w:p>
    <w:p w14:paraId="24C36DCC" w14:textId="77777777" w:rsidR="003E2F71" w:rsidRPr="003E2F71" w:rsidRDefault="003E2F71" w:rsidP="003E2F71">
      <w:pPr>
        <w:spacing w:after="0"/>
        <w:jc w:val="both"/>
        <w:rPr>
          <w:rFonts w:cs="Calibri"/>
          <w:bCs/>
        </w:rPr>
      </w:pPr>
      <w:r w:rsidRPr="003E2F71">
        <w:rPr>
          <w:rFonts w:cs="Calibri"/>
          <w:bCs/>
        </w:rPr>
        <w:t>Dla określenia wytrzymałości betonu wbudowanego w konstrukcję należy w trakcie</w:t>
      </w:r>
      <w:r w:rsidR="00F36576">
        <w:rPr>
          <w:rFonts w:cs="Calibri"/>
          <w:bCs/>
        </w:rPr>
        <w:t xml:space="preserve"> </w:t>
      </w:r>
      <w:r w:rsidRPr="003E2F71">
        <w:rPr>
          <w:rFonts w:cs="Calibri"/>
          <w:bCs/>
        </w:rPr>
        <w:t>betonowania pobierać próbki kontrolne w postaci kostek sześciennych o boku 15 cm w liczbie</w:t>
      </w:r>
      <w:r w:rsidR="00F36576">
        <w:rPr>
          <w:rFonts w:cs="Calibri"/>
          <w:bCs/>
        </w:rPr>
        <w:t xml:space="preserve"> </w:t>
      </w:r>
      <w:r w:rsidRPr="003E2F71">
        <w:rPr>
          <w:rFonts w:cs="Calibri"/>
          <w:bCs/>
        </w:rPr>
        <w:t>nie mniejszej niż:</w:t>
      </w:r>
    </w:p>
    <w:p w14:paraId="7857E1F4" w14:textId="77777777" w:rsidR="003E2F71" w:rsidRPr="003E2F71" w:rsidRDefault="003E2F71" w:rsidP="003E2F71">
      <w:pPr>
        <w:spacing w:after="0"/>
        <w:jc w:val="both"/>
        <w:rPr>
          <w:rFonts w:cs="Calibri"/>
          <w:bCs/>
        </w:rPr>
      </w:pPr>
      <w:r w:rsidRPr="003E2F71">
        <w:rPr>
          <w:rFonts w:cs="Calibri"/>
          <w:bCs/>
        </w:rPr>
        <w:t xml:space="preserve">_ 1 próbka na 100 </w:t>
      </w:r>
      <w:proofErr w:type="spellStart"/>
      <w:r w:rsidRPr="003E2F71">
        <w:rPr>
          <w:rFonts w:cs="Calibri"/>
          <w:bCs/>
        </w:rPr>
        <w:t>zarobów</w:t>
      </w:r>
      <w:proofErr w:type="spellEnd"/>
      <w:r w:rsidRPr="003E2F71">
        <w:rPr>
          <w:rFonts w:cs="Calibri"/>
          <w:bCs/>
        </w:rPr>
        <w:t>,</w:t>
      </w:r>
    </w:p>
    <w:p w14:paraId="5E844C58" w14:textId="77777777" w:rsidR="003E2F71" w:rsidRPr="003E2F71" w:rsidRDefault="003E2F71" w:rsidP="003E2F71">
      <w:pPr>
        <w:spacing w:after="0"/>
        <w:jc w:val="both"/>
        <w:rPr>
          <w:rFonts w:cs="Calibri"/>
          <w:bCs/>
        </w:rPr>
      </w:pPr>
      <w:r w:rsidRPr="003E2F71">
        <w:rPr>
          <w:rFonts w:cs="Calibri"/>
          <w:bCs/>
        </w:rPr>
        <w:t>_ 1 próbka na 50 m3 betonu,</w:t>
      </w:r>
    </w:p>
    <w:p w14:paraId="1471ABCE" w14:textId="77777777" w:rsidR="003E2F71" w:rsidRPr="003E2F71" w:rsidRDefault="003E2F71" w:rsidP="003E2F71">
      <w:pPr>
        <w:spacing w:after="0"/>
        <w:jc w:val="both"/>
        <w:rPr>
          <w:rFonts w:cs="Calibri"/>
          <w:bCs/>
        </w:rPr>
      </w:pPr>
      <w:r w:rsidRPr="003E2F71">
        <w:rPr>
          <w:rFonts w:cs="Calibri"/>
          <w:bCs/>
        </w:rPr>
        <w:t>_ 3 próbki na dobę,</w:t>
      </w:r>
    </w:p>
    <w:p w14:paraId="67D8BD86" w14:textId="77777777" w:rsidR="003E2F71" w:rsidRPr="003E2F71" w:rsidRDefault="003E2F71" w:rsidP="003E2F71">
      <w:pPr>
        <w:spacing w:after="0"/>
        <w:jc w:val="both"/>
        <w:rPr>
          <w:rFonts w:cs="Calibri"/>
          <w:bCs/>
        </w:rPr>
      </w:pPr>
      <w:r w:rsidRPr="003E2F71">
        <w:rPr>
          <w:rFonts w:cs="Calibri"/>
          <w:bCs/>
        </w:rPr>
        <w:t>_ 6 próbek na partię betonu.</w:t>
      </w:r>
    </w:p>
    <w:p w14:paraId="00EBA6A9" w14:textId="71BE4CFF" w:rsidR="003E2F71" w:rsidRPr="003E2F71" w:rsidRDefault="003E2F71" w:rsidP="003E2F71">
      <w:pPr>
        <w:spacing w:after="0"/>
        <w:jc w:val="both"/>
        <w:rPr>
          <w:rFonts w:cs="Calibri"/>
          <w:bCs/>
        </w:rPr>
      </w:pPr>
      <w:r w:rsidRPr="003E2F71">
        <w:rPr>
          <w:rFonts w:cs="Calibri"/>
          <w:bCs/>
        </w:rPr>
        <w:t>Próbki pobiera się losowo po jednej, równomiernie w okresie betonowania, a następnie</w:t>
      </w:r>
      <w:r w:rsidR="00F36576">
        <w:rPr>
          <w:rFonts w:cs="Calibri"/>
          <w:bCs/>
        </w:rPr>
        <w:t xml:space="preserve"> </w:t>
      </w:r>
      <w:r w:rsidRPr="003E2F71">
        <w:rPr>
          <w:rFonts w:cs="Calibri"/>
          <w:bCs/>
        </w:rPr>
        <w:t>przechowuje się, przygotowuje i bada w okresie 28 dni.</w:t>
      </w:r>
    </w:p>
    <w:p w14:paraId="6B6540DD" w14:textId="77777777" w:rsidR="003E2F71" w:rsidRPr="003E2F71" w:rsidRDefault="003E2F71" w:rsidP="003E2F71">
      <w:pPr>
        <w:spacing w:after="0"/>
        <w:jc w:val="both"/>
        <w:rPr>
          <w:rFonts w:cs="Calibri"/>
          <w:bCs/>
        </w:rPr>
      </w:pPr>
      <w:r w:rsidRPr="003E2F71">
        <w:rPr>
          <w:rFonts w:cs="Calibri"/>
          <w:bCs/>
        </w:rPr>
        <w:t>Jeżeli próbki pobrane i badane jak wyżej wykażą wytrzymałość niższą od przewidzianej dla</w:t>
      </w:r>
      <w:r w:rsidR="00F36576">
        <w:rPr>
          <w:rFonts w:cs="Calibri"/>
          <w:bCs/>
        </w:rPr>
        <w:t xml:space="preserve"> </w:t>
      </w:r>
      <w:r w:rsidRPr="003E2F71">
        <w:rPr>
          <w:rFonts w:cs="Calibri"/>
          <w:bCs/>
        </w:rPr>
        <w:t>danej klasy betonu, należy przeprowadzić badania próbek wyciętych z konstrukcji.</w:t>
      </w:r>
    </w:p>
    <w:p w14:paraId="26764337" w14:textId="77777777" w:rsidR="003E2F71" w:rsidRPr="003E2F71" w:rsidRDefault="003E2F71" w:rsidP="003E2F71">
      <w:pPr>
        <w:spacing w:after="0"/>
        <w:jc w:val="both"/>
        <w:rPr>
          <w:rFonts w:cs="Calibri"/>
          <w:bCs/>
        </w:rPr>
      </w:pPr>
      <w:r w:rsidRPr="003E2F71">
        <w:rPr>
          <w:rFonts w:cs="Calibri"/>
          <w:bCs/>
        </w:rPr>
        <w:t>Jeżeli wyniki tych badań będą pozytywne, to beton należy uznać za odpowiadający wymaganej</w:t>
      </w:r>
      <w:r w:rsidR="00F36576">
        <w:rPr>
          <w:rFonts w:cs="Calibri"/>
          <w:bCs/>
        </w:rPr>
        <w:t xml:space="preserve"> </w:t>
      </w:r>
      <w:r w:rsidRPr="003E2F71">
        <w:rPr>
          <w:rFonts w:cs="Calibri"/>
          <w:bCs/>
        </w:rPr>
        <w:t>klasie betonu.</w:t>
      </w:r>
    </w:p>
    <w:p w14:paraId="21FD6DC6" w14:textId="77777777" w:rsidR="003E2F71" w:rsidRPr="003E2F71" w:rsidRDefault="003E2F71" w:rsidP="003E2F71">
      <w:pPr>
        <w:spacing w:after="0"/>
        <w:jc w:val="both"/>
        <w:rPr>
          <w:rFonts w:cs="Calibri"/>
          <w:bCs/>
        </w:rPr>
      </w:pPr>
      <w:r w:rsidRPr="003E2F71">
        <w:rPr>
          <w:rFonts w:cs="Calibri"/>
          <w:bCs/>
        </w:rPr>
        <w:t>W przypadku niespełnienia warunków wytrzymałości betonu na ściskanie po 28 dniach</w:t>
      </w:r>
      <w:r w:rsidR="00F36576">
        <w:rPr>
          <w:rFonts w:cs="Calibri"/>
          <w:bCs/>
        </w:rPr>
        <w:t xml:space="preserve"> </w:t>
      </w:r>
      <w:r w:rsidRPr="003E2F71">
        <w:rPr>
          <w:rFonts w:cs="Calibri"/>
          <w:bCs/>
        </w:rPr>
        <w:t>dojrzewania, dopuszcza się w uzasadnionych przypadkach, za zgodą Inspektora Nadzoru,</w:t>
      </w:r>
      <w:r w:rsidR="00F36576">
        <w:rPr>
          <w:rFonts w:cs="Calibri"/>
          <w:bCs/>
        </w:rPr>
        <w:t xml:space="preserve"> </w:t>
      </w:r>
      <w:r w:rsidRPr="003E2F71">
        <w:rPr>
          <w:rFonts w:cs="Calibri"/>
          <w:bCs/>
        </w:rPr>
        <w:t>spełnienie tego warunku w okresie późniejszym, lecz nie dłuższym niż 90 dni.</w:t>
      </w:r>
    </w:p>
    <w:p w14:paraId="126901C6" w14:textId="77777777" w:rsidR="003E2F71" w:rsidRPr="003E2F71" w:rsidRDefault="003E2F71" w:rsidP="003E2F71">
      <w:pPr>
        <w:spacing w:after="0"/>
        <w:jc w:val="both"/>
        <w:rPr>
          <w:rFonts w:cs="Calibri"/>
          <w:bCs/>
        </w:rPr>
      </w:pPr>
      <w:r w:rsidRPr="003E2F71">
        <w:rPr>
          <w:rFonts w:cs="Calibri"/>
          <w:bCs/>
        </w:rPr>
        <w:lastRenderedPageBreak/>
        <w:t>Dopuszcza się pobieranie dodatkowych próbek i badanie wytrzymałości betonu na ściskanie w</w:t>
      </w:r>
      <w:r w:rsidR="00F36576">
        <w:rPr>
          <w:rFonts w:cs="Calibri"/>
          <w:bCs/>
        </w:rPr>
        <w:t xml:space="preserve"> </w:t>
      </w:r>
      <w:r w:rsidRPr="003E2F71">
        <w:rPr>
          <w:rFonts w:cs="Calibri"/>
          <w:bCs/>
        </w:rPr>
        <w:t>okresie krótszym niż od 28 dni.</w:t>
      </w:r>
    </w:p>
    <w:p w14:paraId="6175CF49" w14:textId="2C9CC760" w:rsidR="003E2F71" w:rsidRPr="003E2F71" w:rsidRDefault="003E2F71" w:rsidP="003E2F71">
      <w:pPr>
        <w:spacing w:after="0"/>
        <w:jc w:val="both"/>
        <w:rPr>
          <w:rFonts w:cs="Calibri"/>
          <w:bCs/>
        </w:rPr>
      </w:pPr>
      <w:r w:rsidRPr="003E2F71">
        <w:rPr>
          <w:rFonts w:cs="Calibri"/>
          <w:bCs/>
        </w:rPr>
        <w:t>Dla określenia nasiąkliwości betonu należy pobrać przy stanowisku betonowania co najmniej</w:t>
      </w:r>
      <w:r w:rsidR="00F36576">
        <w:rPr>
          <w:rFonts w:cs="Calibri"/>
          <w:bCs/>
        </w:rPr>
        <w:t xml:space="preserve"> </w:t>
      </w:r>
      <w:r w:rsidRPr="003E2F71">
        <w:rPr>
          <w:rFonts w:cs="Calibri"/>
          <w:bCs/>
        </w:rPr>
        <w:t>jeden raz w okresie betonowania obiektu oraz każdorazowo przy zmianie składników betonu,</w:t>
      </w:r>
      <w:r w:rsidR="00F36576">
        <w:rPr>
          <w:rFonts w:cs="Calibri"/>
          <w:bCs/>
        </w:rPr>
        <w:t xml:space="preserve"> </w:t>
      </w:r>
      <w:r w:rsidRPr="003E2F71">
        <w:rPr>
          <w:rFonts w:cs="Calibri"/>
          <w:bCs/>
        </w:rPr>
        <w:t>sposobu układania i zagęszczania po 3 próbki o kształcie regularnym lub po 5 próbek o kształcie</w:t>
      </w:r>
      <w:r w:rsidR="00F36576">
        <w:rPr>
          <w:rFonts w:cs="Calibri"/>
          <w:bCs/>
        </w:rPr>
        <w:t xml:space="preserve"> </w:t>
      </w:r>
      <w:r w:rsidRPr="003E2F71">
        <w:rPr>
          <w:rFonts w:cs="Calibri"/>
          <w:bCs/>
        </w:rPr>
        <w:t>nieregularnym.</w:t>
      </w:r>
    </w:p>
    <w:p w14:paraId="7F9E12DC" w14:textId="159987B8" w:rsidR="003E2F71" w:rsidRPr="003E2F71" w:rsidRDefault="003E2F71" w:rsidP="003E2F71">
      <w:pPr>
        <w:spacing w:after="0"/>
        <w:jc w:val="both"/>
        <w:rPr>
          <w:rFonts w:cs="Calibri"/>
          <w:bCs/>
        </w:rPr>
      </w:pPr>
      <w:r w:rsidRPr="003E2F71">
        <w:rPr>
          <w:rFonts w:cs="Calibri"/>
          <w:bCs/>
        </w:rPr>
        <w:t>Próbki trzeba przechowywać w warunkach laboratoryjnych i badać w okresie 28 dni.</w:t>
      </w:r>
    </w:p>
    <w:p w14:paraId="6E467EFA" w14:textId="77777777" w:rsidR="003E2F71" w:rsidRPr="003E2F71" w:rsidRDefault="003E2F71" w:rsidP="003E2F71">
      <w:pPr>
        <w:spacing w:after="0"/>
        <w:jc w:val="both"/>
        <w:rPr>
          <w:rFonts w:cs="Calibri"/>
          <w:bCs/>
        </w:rPr>
      </w:pPr>
      <w:r w:rsidRPr="003E2F71">
        <w:rPr>
          <w:rFonts w:cs="Calibri"/>
          <w:bCs/>
        </w:rPr>
        <w:t>Nasiąkliwość zaleca się również badać na próbkach wyciętych z konstrukcji.</w:t>
      </w:r>
    </w:p>
    <w:p w14:paraId="21821CCE" w14:textId="3DF84927" w:rsidR="00F36576" w:rsidRPr="00F36576" w:rsidRDefault="003E2F71" w:rsidP="00F36576">
      <w:pPr>
        <w:spacing w:after="0"/>
        <w:jc w:val="both"/>
        <w:rPr>
          <w:rFonts w:cs="Calibri"/>
          <w:bCs/>
        </w:rPr>
      </w:pPr>
      <w:r w:rsidRPr="003E2F71">
        <w:rPr>
          <w:rFonts w:cs="Calibri"/>
          <w:bCs/>
        </w:rPr>
        <w:t>Dla określenia mrozoodporności betonu należy pobrać przy stanowisku betonowania co najmniej</w:t>
      </w:r>
      <w:r w:rsidR="00F36576">
        <w:rPr>
          <w:rFonts w:cs="Calibri"/>
          <w:bCs/>
        </w:rPr>
        <w:t xml:space="preserve"> </w:t>
      </w:r>
      <w:r w:rsidRPr="003E2F71">
        <w:rPr>
          <w:rFonts w:cs="Calibri"/>
          <w:bCs/>
        </w:rPr>
        <w:t>jeden raz w okresie betonowania obiektu oraz każdorazowo przy zmianie składników i sposobu</w:t>
      </w:r>
      <w:r w:rsidR="00F36576">
        <w:rPr>
          <w:rFonts w:cs="Calibri"/>
          <w:bCs/>
        </w:rPr>
        <w:t xml:space="preserve"> </w:t>
      </w:r>
      <w:r w:rsidRPr="003E2F71">
        <w:rPr>
          <w:rFonts w:cs="Calibri"/>
          <w:bCs/>
        </w:rPr>
        <w:t>wykonywania betonu po 12 próbek regularnych o minimalnym wymiarze boku lub średnicy</w:t>
      </w:r>
      <w:r w:rsidR="00F36576">
        <w:rPr>
          <w:rFonts w:cs="Calibri"/>
          <w:bCs/>
        </w:rPr>
        <w:t xml:space="preserve"> </w:t>
      </w:r>
      <w:r w:rsidR="00F36576" w:rsidRPr="00F36576">
        <w:rPr>
          <w:rFonts w:cs="Calibri"/>
          <w:bCs/>
        </w:rPr>
        <w:t>próbki 100 mm. Próbki należy przechowywać w warunkach laboratoryjnych i badać w okresie</w:t>
      </w:r>
      <w:r w:rsidR="00772790">
        <w:rPr>
          <w:rFonts w:cs="Calibri"/>
          <w:bCs/>
        </w:rPr>
        <w:t xml:space="preserve"> </w:t>
      </w:r>
      <w:r w:rsidR="00F36576" w:rsidRPr="00F36576">
        <w:rPr>
          <w:rFonts w:cs="Calibri"/>
          <w:bCs/>
        </w:rPr>
        <w:t>90 dni.</w:t>
      </w:r>
    </w:p>
    <w:p w14:paraId="1797D88A" w14:textId="77777777" w:rsidR="00F36576" w:rsidRPr="00F36576" w:rsidRDefault="00F36576" w:rsidP="00F36576">
      <w:pPr>
        <w:spacing w:after="0"/>
        <w:jc w:val="both"/>
        <w:rPr>
          <w:rFonts w:cs="Calibri"/>
          <w:bCs/>
        </w:rPr>
      </w:pPr>
      <w:r w:rsidRPr="00F36576">
        <w:rPr>
          <w:rFonts w:cs="Calibri"/>
          <w:bCs/>
        </w:rPr>
        <w:t>Zaleca się badać mrozoodporność na próbkach wyciętych z konstrukcji.</w:t>
      </w:r>
    </w:p>
    <w:p w14:paraId="375AE779" w14:textId="692CFECF" w:rsidR="00F36576" w:rsidRPr="00F36576" w:rsidRDefault="00F36576" w:rsidP="00F36576">
      <w:pPr>
        <w:spacing w:after="0"/>
        <w:jc w:val="both"/>
        <w:rPr>
          <w:rFonts w:cs="Calibri"/>
          <w:bCs/>
        </w:rPr>
      </w:pPr>
      <w:r w:rsidRPr="00F36576">
        <w:rPr>
          <w:rFonts w:cs="Calibri"/>
          <w:bCs/>
        </w:rPr>
        <w:t>Przy stosowaniu metody przyspieszonej liczba próbek reprezentujących</w:t>
      </w:r>
      <w:r w:rsidR="00772790">
        <w:rPr>
          <w:rFonts w:cs="Calibri"/>
          <w:bCs/>
        </w:rPr>
        <w:t xml:space="preserve"> </w:t>
      </w:r>
      <w:r w:rsidRPr="00F36576">
        <w:rPr>
          <w:rFonts w:cs="Calibri"/>
          <w:bCs/>
        </w:rPr>
        <w:t>daną partię betonu może być zmniejszona do 6, a badanie należy przeprowadzić w okresie 28</w:t>
      </w:r>
      <w:r w:rsidR="00772790">
        <w:rPr>
          <w:rFonts w:cs="Calibri"/>
          <w:bCs/>
        </w:rPr>
        <w:t xml:space="preserve"> </w:t>
      </w:r>
      <w:r w:rsidRPr="00F36576">
        <w:rPr>
          <w:rFonts w:cs="Calibri"/>
          <w:bCs/>
        </w:rPr>
        <w:t>dni.</w:t>
      </w:r>
    </w:p>
    <w:p w14:paraId="356ECF6B" w14:textId="77777777" w:rsidR="00F36576" w:rsidRPr="00F36576" w:rsidRDefault="00F36576" w:rsidP="00F36576">
      <w:pPr>
        <w:spacing w:after="0"/>
        <w:jc w:val="both"/>
        <w:rPr>
          <w:rFonts w:cs="Calibri"/>
          <w:bCs/>
        </w:rPr>
      </w:pPr>
      <w:r w:rsidRPr="00F36576">
        <w:rPr>
          <w:rFonts w:cs="Calibri"/>
          <w:bCs/>
        </w:rPr>
        <w:t>Wymagany stopień wodoszczelności sprawdza się, pobierając co najmniej jeden raz w okresie</w:t>
      </w:r>
      <w:r w:rsidR="00772790">
        <w:rPr>
          <w:rFonts w:cs="Calibri"/>
          <w:bCs/>
        </w:rPr>
        <w:t xml:space="preserve"> </w:t>
      </w:r>
      <w:r w:rsidRPr="00F36576">
        <w:rPr>
          <w:rFonts w:cs="Calibri"/>
          <w:bCs/>
        </w:rPr>
        <w:t>betonowania obiektu oraz każdorazowo przy zmianie składników i sposobu wykonywania</w:t>
      </w:r>
      <w:r w:rsidR="00772790">
        <w:rPr>
          <w:rFonts w:cs="Calibri"/>
          <w:bCs/>
        </w:rPr>
        <w:t xml:space="preserve"> </w:t>
      </w:r>
      <w:r w:rsidRPr="00F36576">
        <w:rPr>
          <w:rFonts w:cs="Calibri"/>
          <w:bCs/>
        </w:rPr>
        <w:t>betonu po 6 próbek regularnych o grubości nie większej niż 160 mm i minimalnym wymiarze</w:t>
      </w:r>
      <w:r w:rsidR="00772790">
        <w:rPr>
          <w:rFonts w:cs="Calibri"/>
          <w:bCs/>
        </w:rPr>
        <w:t xml:space="preserve"> </w:t>
      </w:r>
      <w:r w:rsidRPr="00F36576">
        <w:rPr>
          <w:rFonts w:cs="Calibri"/>
          <w:bCs/>
        </w:rPr>
        <w:t>boku lub średnicy 100 mm.</w:t>
      </w:r>
    </w:p>
    <w:p w14:paraId="77181A21" w14:textId="7E383D76" w:rsidR="00F36576" w:rsidRPr="00F36576" w:rsidRDefault="00F36576" w:rsidP="00F36576">
      <w:pPr>
        <w:spacing w:after="0"/>
        <w:jc w:val="both"/>
        <w:rPr>
          <w:rFonts w:cs="Calibri"/>
          <w:bCs/>
        </w:rPr>
      </w:pPr>
      <w:r w:rsidRPr="00F36576">
        <w:rPr>
          <w:rFonts w:cs="Calibri"/>
          <w:bCs/>
        </w:rPr>
        <w:t>Próbki przechowywać należy w warunkach laboratoryjnych i badać w okresie 28 dni.</w:t>
      </w:r>
    </w:p>
    <w:p w14:paraId="72AF5128" w14:textId="77777777" w:rsidR="00F36576" w:rsidRPr="00F36576" w:rsidRDefault="00F36576" w:rsidP="00F36576">
      <w:pPr>
        <w:spacing w:after="0"/>
        <w:jc w:val="both"/>
        <w:rPr>
          <w:rFonts w:cs="Calibri"/>
          <w:bCs/>
        </w:rPr>
      </w:pPr>
      <w:r w:rsidRPr="00F36576">
        <w:rPr>
          <w:rFonts w:cs="Calibri"/>
          <w:bCs/>
        </w:rPr>
        <w:t>Badania powinny obejmować:</w:t>
      </w:r>
    </w:p>
    <w:p w14:paraId="4AC95E65" w14:textId="77777777" w:rsidR="00F36576" w:rsidRPr="00F36576" w:rsidRDefault="00F36576" w:rsidP="00F36576">
      <w:pPr>
        <w:spacing w:after="0"/>
        <w:jc w:val="both"/>
        <w:rPr>
          <w:rFonts w:cs="Calibri"/>
          <w:bCs/>
        </w:rPr>
      </w:pPr>
      <w:r w:rsidRPr="00F36576">
        <w:rPr>
          <w:rFonts w:cs="Calibri"/>
          <w:bCs/>
        </w:rPr>
        <w:t>_ badanie składników betonu,</w:t>
      </w:r>
    </w:p>
    <w:p w14:paraId="2A373411" w14:textId="77777777" w:rsidR="00F36576" w:rsidRPr="00F36576" w:rsidRDefault="00F36576" w:rsidP="00F36576">
      <w:pPr>
        <w:spacing w:after="0"/>
        <w:jc w:val="both"/>
        <w:rPr>
          <w:rFonts w:cs="Calibri"/>
          <w:bCs/>
        </w:rPr>
      </w:pPr>
      <w:r w:rsidRPr="00F36576">
        <w:rPr>
          <w:rFonts w:cs="Calibri"/>
          <w:bCs/>
        </w:rPr>
        <w:t>_ badanie mieszanki betonowej,</w:t>
      </w:r>
    </w:p>
    <w:p w14:paraId="22D52ED1" w14:textId="77777777" w:rsidR="001E742E" w:rsidRDefault="00F36576" w:rsidP="00F36576">
      <w:pPr>
        <w:spacing w:after="0"/>
        <w:jc w:val="both"/>
        <w:rPr>
          <w:rFonts w:cs="Calibri"/>
          <w:bCs/>
        </w:rPr>
      </w:pPr>
      <w:r w:rsidRPr="00F36576">
        <w:rPr>
          <w:rFonts w:cs="Calibri"/>
          <w:bCs/>
        </w:rPr>
        <w:t>_ badanie betonu.</w:t>
      </w:r>
    </w:p>
    <w:p w14:paraId="6771DC11" w14:textId="77777777" w:rsidR="00772790" w:rsidRPr="00772790" w:rsidRDefault="00772790" w:rsidP="00DC5CA3">
      <w:pPr>
        <w:pStyle w:val="Akapitzlist"/>
        <w:numPr>
          <w:ilvl w:val="1"/>
          <w:numId w:val="1"/>
        </w:numPr>
        <w:spacing w:after="0"/>
        <w:jc w:val="both"/>
        <w:rPr>
          <w:rFonts w:cs="Calibri"/>
          <w:b/>
          <w:bCs/>
        </w:rPr>
      </w:pPr>
      <w:r w:rsidRPr="00772790">
        <w:rPr>
          <w:rFonts w:cs="Calibri"/>
          <w:b/>
          <w:bCs/>
        </w:rPr>
        <w:t>Tolerancja wykonania</w:t>
      </w:r>
    </w:p>
    <w:p w14:paraId="161477B5" w14:textId="77777777" w:rsidR="00772790" w:rsidRPr="00772790" w:rsidRDefault="00772790" w:rsidP="00772790">
      <w:pPr>
        <w:spacing w:after="0"/>
        <w:jc w:val="both"/>
        <w:rPr>
          <w:rFonts w:cs="Calibri"/>
          <w:b/>
          <w:bCs/>
        </w:rPr>
      </w:pPr>
      <w:r w:rsidRPr="00772790">
        <w:rPr>
          <w:rFonts w:cs="Calibri"/>
          <w:b/>
          <w:bCs/>
        </w:rPr>
        <w:t>Wymagania ogólne.</w:t>
      </w:r>
    </w:p>
    <w:p w14:paraId="2A411413" w14:textId="77777777" w:rsidR="00772790" w:rsidRPr="00772790" w:rsidRDefault="00772790" w:rsidP="00772790">
      <w:pPr>
        <w:spacing w:after="0"/>
        <w:jc w:val="both"/>
        <w:rPr>
          <w:rFonts w:cs="Calibri"/>
          <w:bCs/>
        </w:rPr>
      </w:pPr>
      <w:r w:rsidRPr="00772790">
        <w:rPr>
          <w:rFonts w:cs="Calibri"/>
          <w:bCs/>
        </w:rPr>
        <w:t>Rozróżnia się tolerancje normalne klasy N1 i N2 oraz specjalne.</w:t>
      </w:r>
    </w:p>
    <w:p w14:paraId="1DABF505" w14:textId="77777777" w:rsidR="00772790" w:rsidRPr="00772790" w:rsidRDefault="00772790" w:rsidP="00772790">
      <w:pPr>
        <w:spacing w:after="0"/>
        <w:jc w:val="both"/>
        <w:rPr>
          <w:rFonts w:cs="Calibri"/>
          <w:bCs/>
        </w:rPr>
      </w:pPr>
      <w:r w:rsidRPr="00772790">
        <w:rPr>
          <w:rFonts w:cs="Calibri"/>
          <w:bCs/>
        </w:rPr>
        <w:t>Odchylenia poziome usytuowania podpór i elementów powinny być mierzone w stosunku do osi</w:t>
      </w:r>
      <w:r w:rsidR="004D18F1">
        <w:rPr>
          <w:rFonts w:cs="Calibri"/>
          <w:bCs/>
        </w:rPr>
        <w:t xml:space="preserve"> </w:t>
      </w:r>
      <w:r w:rsidRPr="00772790">
        <w:rPr>
          <w:rFonts w:cs="Calibri"/>
          <w:bCs/>
        </w:rPr>
        <w:t>podłużnych i poprzecznych osnowy geodezyjnej pokrywających się z osiami ścian.</w:t>
      </w:r>
    </w:p>
    <w:p w14:paraId="68E38BAB" w14:textId="77777777" w:rsidR="00772790" w:rsidRPr="00772790" w:rsidRDefault="00772790" w:rsidP="00772790">
      <w:pPr>
        <w:spacing w:after="0"/>
        <w:jc w:val="both"/>
        <w:rPr>
          <w:rFonts w:cs="Calibri"/>
          <w:bCs/>
        </w:rPr>
      </w:pPr>
      <w:r w:rsidRPr="00772790">
        <w:rPr>
          <w:rFonts w:cs="Calibri"/>
          <w:bCs/>
        </w:rPr>
        <w:t>Odchylenia poziome wzdłuż wysokości budynku powinny przyjmować wartości różnoimienne w</w:t>
      </w:r>
      <w:r w:rsidR="004D18F1">
        <w:rPr>
          <w:rFonts w:cs="Calibri"/>
          <w:bCs/>
        </w:rPr>
        <w:t xml:space="preserve"> </w:t>
      </w:r>
      <w:r w:rsidRPr="00772790">
        <w:rPr>
          <w:rFonts w:cs="Calibri"/>
          <w:bCs/>
        </w:rPr>
        <w:t>stosunku do układu rzeczywistego. W przypadku stwierdzenia odchyleń o charakterze</w:t>
      </w:r>
      <w:r w:rsidR="004D18F1">
        <w:rPr>
          <w:rFonts w:cs="Calibri"/>
          <w:bCs/>
        </w:rPr>
        <w:t xml:space="preserve"> </w:t>
      </w:r>
      <w:r w:rsidRPr="00772790">
        <w:rPr>
          <w:rFonts w:cs="Calibri"/>
          <w:bCs/>
        </w:rPr>
        <w:t>systematycznym należy podjąć działania korygujące.</w:t>
      </w:r>
    </w:p>
    <w:p w14:paraId="7C720A91" w14:textId="77777777" w:rsidR="00772790" w:rsidRPr="00772790" w:rsidRDefault="00772790" w:rsidP="00772790">
      <w:pPr>
        <w:spacing w:after="0"/>
        <w:jc w:val="both"/>
        <w:rPr>
          <w:rFonts w:cs="Calibri"/>
          <w:b/>
          <w:bCs/>
        </w:rPr>
      </w:pPr>
      <w:r w:rsidRPr="00772790">
        <w:rPr>
          <w:rFonts w:cs="Calibri"/>
          <w:b/>
          <w:bCs/>
        </w:rPr>
        <w:t>System odniesienia.</w:t>
      </w:r>
    </w:p>
    <w:p w14:paraId="3E0C48A6" w14:textId="4E9AD825" w:rsidR="00772790" w:rsidRPr="00772790" w:rsidRDefault="00772790" w:rsidP="00772790">
      <w:pPr>
        <w:spacing w:after="0"/>
        <w:jc w:val="both"/>
        <w:rPr>
          <w:rFonts w:cs="Calibri"/>
          <w:bCs/>
        </w:rPr>
      </w:pPr>
      <w:r w:rsidRPr="00772790">
        <w:rPr>
          <w:rFonts w:cs="Calibri"/>
          <w:bCs/>
        </w:rPr>
        <w:t>Przed przystąpieniem do robót na budowie należy ustalić punkty pomiarowe zgodne z przyjętą</w:t>
      </w:r>
      <w:r w:rsidR="004D18F1">
        <w:rPr>
          <w:rFonts w:cs="Calibri"/>
          <w:bCs/>
        </w:rPr>
        <w:t xml:space="preserve"> </w:t>
      </w:r>
      <w:r w:rsidRPr="00772790">
        <w:rPr>
          <w:rFonts w:cs="Calibri"/>
          <w:bCs/>
        </w:rPr>
        <w:t>osnową geodezyjną stanowiące przestrzenny układ odniesienia do określania usytuowania</w:t>
      </w:r>
      <w:r w:rsidR="004D18F1">
        <w:rPr>
          <w:rFonts w:cs="Calibri"/>
          <w:bCs/>
        </w:rPr>
        <w:t xml:space="preserve"> </w:t>
      </w:r>
      <w:r w:rsidRPr="00772790">
        <w:rPr>
          <w:rFonts w:cs="Calibri"/>
          <w:bCs/>
        </w:rPr>
        <w:t>elementów konstrukcji.</w:t>
      </w:r>
    </w:p>
    <w:p w14:paraId="784BD866" w14:textId="77777777" w:rsidR="00772790" w:rsidRPr="00772790" w:rsidRDefault="00772790" w:rsidP="00772790">
      <w:pPr>
        <w:spacing w:after="0"/>
        <w:jc w:val="both"/>
        <w:rPr>
          <w:rFonts w:cs="Calibri"/>
          <w:bCs/>
        </w:rPr>
      </w:pPr>
      <w:r w:rsidRPr="00772790">
        <w:rPr>
          <w:rFonts w:cs="Calibri"/>
          <w:bCs/>
        </w:rPr>
        <w:t>Punkty pomiarowe powinny być zabezpieczone przed uszkodzeniem lub zniszczeniem.</w:t>
      </w:r>
    </w:p>
    <w:p w14:paraId="10B9C7EE" w14:textId="77777777" w:rsidR="00772790" w:rsidRPr="00772790" w:rsidRDefault="00772790" w:rsidP="00772790">
      <w:pPr>
        <w:spacing w:after="0"/>
        <w:jc w:val="both"/>
        <w:rPr>
          <w:rFonts w:cs="Calibri"/>
          <w:b/>
          <w:bCs/>
        </w:rPr>
      </w:pPr>
      <w:r w:rsidRPr="00772790">
        <w:rPr>
          <w:rFonts w:cs="Calibri"/>
          <w:b/>
          <w:bCs/>
        </w:rPr>
        <w:t>Fundamenty (ławy-stopy).</w:t>
      </w:r>
    </w:p>
    <w:p w14:paraId="4237A723" w14:textId="77777777" w:rsidR="00772790" w:rsidRPr="00772790" w:rsidRDefault="00772790" w:rsidP="00772790">
      <w:pPr>
        <w:spacing w:after="0"/>
        <w:jc w:val="both"/>
        <w:rPr>
          <w:rFonts w:cs="Calibri"/>
          <w:bCs/>
        </w:rPr>
      </w:pPr>
      <w:r w:rsidRPr="00772790">
        <w:rPr>
          <w:rFonts w:cs="Calibri"/>
          <w:bCs/>
        </w:rPr>
        <w:t>Dopuszczalne odchylenie usytuowania osi fundamentów w planie nie powinno być większe niż:</w:t>
      </w:r>
    </w:p>
    <w:p w14:paraId="6C13D3F6" w14:textId="77777777" w:rsidR="00772790" w:rsidRPr="00772790" w:rsidRDefault="00772790" w:rsidP="00772790">
      <w:pPr>
        <w:spacing w:after="0"/>
        <w:jc w:val="both"/>
        <w:rPr>
          <w:rFonts w:cs="Calibri"/>
          <w:bCs/>
        </w:rPr>
      </w:pPr>
      <w:r w:rsidRPr="00772790">
        <w:rPr>
          <w:rFonts w:cs="Calibri"/>
          <w:bCs/>
        </w:rPr>
        <w:t>_ ± 10 mm przy klasie tolerancji N1,</w:t>
      </w:r>
    </w:p>
    <w:p w14:paraId="4FB773EF" w14:textId="77777777" w:rsidR="00772790" w:rsidRPr="00772790" w:rsidRDefault="00772790" w:rsidP="00772790">
      <w:pPr>
        <w:spacing w:after="0"/>
        <w:jc w:val="both"/>
        <w:rPr>
          <w:rFonts w:cs="Calibri"/>
          <w:bCs/>
        </w:rPr>
      </w:pPr>
      <w:r w:rsidRPr="00772790">
        <w:rPr>
          <w:rFonts w:cs="Calibri"/>
          <w:bCs/>
        </w:rPr>
        <w:t>_ ± 5 mm przy klasie tolerancji N2.</w:t>
      </w:r>
    </w:p>
    <w:p w14:paraId="4BE7837F" w14:textId="77777777" w:rsidR="00772790" w:rsidRPr="00772790" w:rsidRDefault="00772790" w:rsidP="00772790">
      <w:pPr>
        <w:spacing w:after="0"/>
        <w:jc w:val="both"/>
        <w:rPr>
          <w:rFonts w:cs="Calibri"/>
          <w:bCs/>
        </w:rPr>
      </w:pPr>
      <w:r w:rsidRPr="00772790">
        <w:rPr>
          <w:rFonts w:cs="Calibri"/>
          <w:bCs/>
        </w:rPr>
        <w:t>Dopuszczalne odchylenie usytuowania poziomu fundamentu w stosunku do poziomu</w:t>
      </w:r>
      <w:r w:rsidR="004D18F1">
        <w:rPr>
          <w:rFonts w:cs="Calibri"/>
          <w:bCs/>
        </w:rPr>
        <w:t xml:space="preserve"> </w:t>
      </w:r>
      <w:r w:rsidRPr="00772790">
        <w:rPr>
          <w:rFonts w:cs="Calibri"/>
          <w:bCs/>
        </w:rPr>
        <w:t>pozycyjnego nie powinno być większe niż:</w:t>
      </w:r>
      <w:r w:rsidR="004D18F1">
        <w:rPr>
          <w:rFonts w:cs="Calibri"/>
          <w:bCs/>
        </w:rPr>
        <w:t xml:space="preserve"> </w:t>
      </w:r>
      <w:r w:rsidRPr="00772790">
        <w:rPr>
          <w:rFonts w:cs="Calibri"/>
          <w:bCs/>
        </w:rPr>
        <w:t>± 20 mm przy klasie tolerancjiN1, ± 15 mm przy klasie tolerancji N2.</w:t>
      </w:r>
    </w:p>
    <w:p w14:paraId="0BAC79A7" w14:textId="77777777" w:rsidR="00772790" w:rsidRPr="00772790" w:rsidRDefault="00772790" w:rsidP="00772790">
      <w:pPr>
        <w:spacing w:after="0"/>
        <w:jc w:val="both"/>
        <w:rPr>
          <w:rFonts w:cs="Calibri"/>
          <w:b/>
          <w:bCs/>
        </w:rPr>
      </w:pPr>
      <w:r w:rsidRPr="00772790">
        <w:rPr>
          <w:rFonts w:cs="Calibri"/>
          <w:b/>
          <w:bCs/>
        </w:rPr>
        <w:t xml:space="preserve">Słupy i </w:t>
      </w:r>
      <w:r w:rsidRPr="00772790">
        <w:rPr>
          <w:rFonts w:cs="Calibri"/>
          <w:bCs/>
        </w:rPr>
        <w:t>ś</w:t>
      </w:r>
      <w:r w:rsidRPr="00772790">
        <w:rPr>
          <w:rFonts w:cs="Calibri"/>
          <w:b/>
          <w:bCs/>
        </w:rPr>
        <w:t>ciany.</w:t>
      </w:r>
    </w:p>
    <w:p w14:paraId="72C3BF53" w14:textId="77777777" w:rsidR="00772790" w:rsidRPr="00772790" w:rsidRDefault="00772790" w:rsidP="00772790">
      <w:pPr>
        <w:spacing w:after="0"/>
        <w:jc w:val="both"/>
        <w:rPr>
          <w:rFonts w:cs="Calibri"/>
          <w:bCs/>
        </w:rPr>
      </w:pPr>
      <w:r w:rsidRPr="00772790">
        <w:rPr>
          <w:rFonts w:cs="Calibri"/>
          <w:bCs/>
        </w:rPr>
        <w:lastRenderedPageBreak/>
        <w:t>Dopuszczalne odchylenie usytuowania słupów i ścian w planie w stosunku do punktu</w:t>
      </w:r>
      <w:r w:rsidR="004D18F1">
        <w:rPr>
          <w:rFonts w:cs="Calibri"/>
          <w:bCs/>
        </w:rPr>
        <w:t xml:space="preserve"> </w:t>
      </w:r>
      <w:r w:rsidRPr="00772790">
        <w:rPr>
          <w:rFonts w:cs="Calibri"/>
          <w:bCs/>
        </w:rPr>
        <w:t>pozycyjnego (lub osi pozycyjnej) nie powinno być większe niż:</w:t>
      </w:r>
      <w:r w:rsidR="004D18F1">
        <w:rPr>
          <w:rFonts w:cs="Calibri"/>
          <w:bCs/>
        </w:rPr>
        <w:t xml:space="preserve"> </w:t>
      </w:r>
      <w:r w:rsidRPr="00772790">
        <w:rPr>
          <w:rFonts w:cs="Calibri"/>
          <w:bCs/>
        </w:rPr>
        <w:t>±10 mm przy klasie tolerancjiN1, ± 5 mm przy klasie tolerancji N2.</w:t>
      </w:r>
    </w:p>
    <w:p w14:paraId="5A8FD42D" w14:textId="77777777" w:rsidR="00772790" w:rsidRPr="00772790" w:rsidRDefault="00772790" w:rsidP="00772790">
      <w:pPr>
        <w:spacing w:after="0"/>
        <w:jc w:val="both"/>
        <w:rPr>
          <w:rFonts w:cs="Calibri"/>
          <w:bCs/>
        </w:rPr>
      </w:pPr>
      <w:r w:rsidRPr="00772790">
        <w:rPr>
          <w:rFonts w:cs="Calibri"/>
          <w:bCs/>
        </w:rPr>
        <w:t>Dopuszczalne odchylenie wymiaru wolnej odległości usytuowania słupów i ścian w planie w</w:t>
      </w:r>
      <w:r w:rsidR="004D18F1">
        <w:rPr>
          <w:rFonts w:cs="Calibri"/>
          <w:bCs/>
        </w:rPr>
        <w:t xml:space="preserve"> </w:t>
      </w:r>
      <w:r w:rsidRPr="00772790">
        <w:rPr>
          <w:rFonts w:cs="Calibri"/>
          <w:bCs/>
        </w:rPr>
        <w:t>stosunku do słupów i ścian sąsiednich nie powinno być większe niż:</w:t>
      </w:r>
    </w:p>
    <w:p w14:paraId="5ACBBA75" w14:textId="77777777" w:rsidR="00772790" w:rsidRPr="00772790" w:rsidRDefault="00772790" w:rsidP="00772790">
      <w:pPr>
        <w:spacing w:after="0"/>
        <w:jc w:val="both"/>
        <w:rPr>
          <w:rFonts w:cs="Calibri"/>
          <w:bCs/>
        </w:rPr>
      </w:pPr>
      <w:r w:rsidRPr="00772790">
        <w:rPr>
          <w:rFonts w:cs="Calibri"/>
          <w:bCs/>
        </w:rPr>
        <w:t>_ ± 15 mm przy klasie tolerancji N1,</w:t>
      </w:r>
    </w:p>
    <w:p w14:paraId="54BCFADC" w14:textId="77777777" w:rsidR="00772790" w:rsidRDefault="00772790" w:rsidP="00772790">
      <w:pPr>
        <w:spacing w:after="0"/>
        <w:jc w:val="both"/>
        <w:rPr>
          <w:rFonts w:cs="Calibri"/>
          <w:bCs/>
        </w:rPr>
      </w:pPr>
      <w:r w:rsidRPr="00772790">
        <w:rPr>
          <w:rFonts w:cs="Calibri"/>
          <w:bCs/>
        </w:rPr>
        <w:t>_ ± 10 mm przy klasie tolerancji N2.</w:t>
      </w:r>
    </w:p>
    <w:p w14:paraId="70F0BA63" w14:textId="77777777" w:rsidR="004D18F1" w:rsidRPr="004D18F1" w:rsidRDefault="004D18F1" w:rsidP="004D18F1">
      <w:pPr>
        <w:spacing w:after="0"/>
        <w:jc w:val="both"/>
        <w:rPr>
          <w:rFonts w:cs="Calibri"/>
          <w:bCs/>
        </w:rPr>
      </w:pPr>
      <w:r w:rsidRPr="004D18F1">
        <w:rPr>
          <w:rFonts w:cs="Calibri"/>
          <w:bCs/>
        </w:rPr>
        <w:t>Dopuszczalne odchylenie wymiaru budynku L (szerokości lub długości w metrach) na każdym</w:t>
      </w:r>
      <w:r w:rsidR="00BA73A4">
        <w:rPr>
          <w:rFonts w:cs="Calibri"/>
          <w:bCs/>
        </w:rPr>
        <w:t xml:space="preserve"> </w:t>
      </w:r>
      <w:r w:rsidRPr="004D18F1">
        <w:rPr>
          <w:rFonts w:cs="Calibri"/>
          <w:bCs/>
        </w:rPr>
        <w:t>poziomie nie powinno być większe niż:</w:t>
      </w:r>
    </w:p>
    <w:p w14:paraId="5E2B5A74" w14:textId="77777777" w:rsidR="004D18F1" w:rsidRPr="004D18F1" w:rsidRDefault="004D18F1" w:rsidP="004D18F1">
      <w:pPr>
        <w:spacing w:after="0"/>
        <w:jc w:val="both"/>
        <w:rPr>
          <w:rFonts w:cs="Calibri"/>
          <w:bCs/>
        </w:rPr>
      </w:pPr>
      <w:r w:rsidRPr="004D18F1">
        <w:rPr>
          <w:rFonts w:cs="Calibri"/>
          <w:bCs/>
        </w:rPr>
        <w:t>_ ± 20 mm przy L &lt; 30 m,</w:t>
      </w:r>
    </w:p>
    <w:p w14:paraId="403A02F6" w14:textId="77777777" w:rsidR="004D18F1" w:rsidRPr="004D18F1" w:rsidRDefault="004D18F1" w:rsidP="004D18F1">
      <w:pPr>
        <w:spacing w:after="0"/>
        <w:jc w:val="both"/>
        <w:rPr>
          <w:rFonts w:cs="Calibri"/>
          <w:bCs/>
        </w:rPr>
      </w:pPr>
      <w:r w:rsidRPr="004D18F1">
        <w:rPr>
          <w:rFonts w:cs="Calibri"/>
          <w:bCs/>
        </w:rPr>
        <w:t>_ ± 0,25 (L+50) przy 30 m &lt; L &lt; 250 m,</w:t>
      </w:r>
    </w:p>
    <w:p w14:paraId="0C9063A6" w14:textId="77777777" w:rsidR="004D18F1" w:rsidRPr="004D18F1" w:rsidRDefault="004D18F1" w:rsidP="004D18F1">
      <w:pPr>
        <w:spacing w:after="0"/>
        <w:jc w:val="both"/>
        <w:rPr>
          <w:rFonts w:cs="Calibri"/>
          <w:bCs/>
        </w:rPr>
      </w:pPr>
      <w:r w:rsidRPr="004D18F1">
        <w:rPr>
          <w:rFonts w:cs="Calibri"/>
          <w:bCs/>
        </w:rPr>
        <w:t>_ ± 0,10 (L+500) przy L ³ 500m.</w:t>
      </w:r>
    </w:p>
    <w:p w14:paraId="1A4B8756" w14:textId="77777777" w:rsidR="004D18F1" w:rsidRPr="004D18F1" w:rsidRDefault="004D18F1" w:rsidP="004D18F1">
      <w:pPr>
        <w:spacing w:after="0"/>
        <w:jc w:val="both"/>
        <w:rPr>
          <w:rFonts w:cs="Calibri"/>
          <w:bCs/>
        </w:rPr>
      </w:pPr>
      <w:r w:rsidRPr="004D18F1">
        <w:rPr>
          <w:rFonts w:cs="Calibri"/>
          <w:bCs/>
        </w:rPr>
        <w:t>Dopuszczalne odchylenie słupa lub ściany od pionu pomiędzy poziomami przyległych</w:t>
      </w:r>
      <w:r w:rsidR="00BA73A4">
        <w:rPr>
          <w:rFonts w:cs="Calibri"/>
          <w:bCs/>
        </w:rPr>
        <w:t xml:space="preserve"> </w:t>
      </w:r>
      <w:r w:rsidRPr="004D18F1">
        <w:rPr>
          <w:rFonts w:cs="Calibri"/>
          <w:bCs/>
        </w:rPr>
        <w:t>kondygnacji o wysokości h nie powinny być większe niż:</w:t>
      </w:r>
    </w:p>
    <w:p w14:paraId="5E93B247" w14:textId="77777777" w:rsidR="004D18F1" w:rsidRPr="004D18F1" w:rsidRDefault="004D18F1" w:rsidP="004D18F1">
      <w:pPr>
        <w:spacing w:after="0"/>
        <w:jc w:val="both"/>
        <w:rPr>
          <w:rFonts w:cs="Calibri"/>
          <w:bCs/>
        </w:rPr>
      </w:pPr>
      <w:r w:rsidRPr="004D18F1">
        <w:rPr>
          <w:rFonts w:cs="Calibri"/>
          <w:bCs/>
        </w:rPr>
        <w:t>_ ± h/300 przy klasie tolerancji N1,</w:t>
      </w:r>
    </w:p>
    <w:p w14:paraId="632B24EF" w14:textId="77777777" w:rsidR="004D18F1" w:rsidRPr="004D18F1" w:rsidRDefault="004D18F1" w:rsidP="004D18F1">
      <w:pPr>
        <w:spacing w:after="0"/>
        <w:jc w:val="both"/>
        <w:rPr>
          <w:rFonts w:cs="Calibri"/>
          <w:bCs/>
        </w:rPr>
      </w:pPr>
      <w:r w:rsidRPr="004D18F1">
        <w:rPr>
          <w:rFonts w:cs="Calibri"/>
          <w:bCs/>
        </w:rPr>
        <w:t>_ ± h/400 przy klasie tolerancji N2.</w:t>
      </w:r>
    </w:p>
    <w:p w14:paraId="0934C82F" w14:textId="77777777" w:rsidR="004D18F1" w:rsidRPr="004D18F1" w:rsidRDefault="004D18F1" w:rsidP="004D18F1">
      <w:pPr>
        <w:spacing w:after="0"/>
        <w:jc w:val="both"/>
        <w:rPr>
          <w:rFonts w:cs="Calibri"/>
          <w:bCs/>
        </w:rPr>
      </w:pPr>
      <w:r w:rsidRPr="004D18F1">
        <w:rPr>
          <w:rFonts w:cs="Calibri"/>
          <w:bCs/>
        </w:rPr>
        <w:t>Dopuszczalne wygięcie słupa lub ściany pomiędzy poziomami przyległych kondygnacji nie</w:t>
      </w:r>
      <w:r w:rsidR="00BA73A4">
        <w:rPr>
          <w:rFonts w:cs="Calibri"/>
          <w:bCs/>
        </w:rPr>
        <w:t xml:space="preserve"> </w:t>
      </w:r>
      <w:r w:rsidRPr="004D18F1">
        <w:rPr>
          <w:rFonts w:cs="Calibri"/>
          <w:bCs/>
        </w:rPr>
        <w:t>powinno być większe niż:</w:t>
      </w:r>
    </w:p>
    <w:p w14:paraId="48F06101" w14:textId="77777777" w:rsidR="004D18F1" w:rsidRPr="004D18F1" w:rsidRDefault="004D18F1" w:rsidP="004D18F1">
      <w:pPr>
        <w:spacing w:after="0"/>
        <w:jc w:val="both"/>
        <w:rPr>
          <w:rFonts w:cs="Calibri"/>
          <w:bCs/>
        </w:rPr>
      </w:pPr>
      <w:r w:rsidRPr="004D18F1">
        <w:rPr>
          <w:rFonts w:cs="Calibri"/>
          <w:bCs/>
        </w:rPr>
        <w:t>± 10 mm lub h/750 przy klasie tolerancji N1, ± 5 mm lub h/1000 przy klasie tolerancji N2.</w:t>
      </w:r>
    </w:p>
    <w:p w14:paraId="48C64A77" w14:textId="77777777" w:rsidR="004D18F1" w:rsidRPr="004D18F1" w:rsidRDefault="004D18F1" w:rsidP="004D18F1">
      <w:pPr>
        <w:spacing w:after="0"/>
        <w:jc w:val="both"/>
        <w:rPr>
          <w:rFonts w:cs="Calibri"/>
          <w:bCs/>
        </w:rPr>
      </w:pPr>
      <w:r w:rsidRPr="004D18F1">
        <w:rPr>
          <w:rFonts w:cs="Calibri"/>
          <w:bCs/>
        </w:rPr>
        <w:t>Dopuszczalne odchylenie usytuowania stupa lub ściany na poziomie dowolnej n-tej kondygnacji</w:t>
      </w:r>
      <w:r w:rsidR="00BA73A4">
        <w:rPr>
          <w:rFonts w:cs="Calibri"/>
          <w:bCs/>
        </w:rPr>
        <w:t xml:space="preserve"> </w:t>
      </w:r>
      <w:r w:rsidRPr="004D18F1">
        <w:rPr>
          <w:rFonts w:cs="Calibri"/>
          <w:bCs/>
        </w:rPr>
        <w:t>budynku na wysokości _h1 w stosunku do osi pionowej od poziomu fundamentu nie powinna</w:t>
      </w:r>
      <w:r w:rsidR="00BA73A4">
        <w:rPr>
          <w:rFonts w:cs="Calibri"/>
          <w:bCs/>
        </w:rPr>
        <w:t xml:space="preserve"> </w:t>
      </w:r>
      <w:r w:rsidRPr="004D18F1">
        <w:rPr>
          <w:rFonts w:cs="Calibri"/>
          <w:bCs/>
        </w:rPr>
        <w:t>być większa niż:</w:t>
      </w:r>
    </w:p>
    <w:p w14:paraId="7A238EAB" w14:textId="77777777" w:rsidR="004D18F1" w:rsidRPr="004D18F1" w:rsidRDefault="004D18F1" w:rsidP="004D18F1">
      <w:pPr>
        <w:spacing w:after="0"/>
        <w:jc w:val="both"/>
        <w:rPr>
          <w:rFonts w:cs="Calibri"/>
          <w:bCs/>
        </w:rPr>
      </w:pPr>
      <w:r w:rsidRPr="004D18F1">
        <w:rPr>
          <w:rFonts w:cs="Calibri"/>
          <w:bCs/>
        </w:rPr>
        <w:t>_ _h1/300Ön przy klasie tolerancji N1,</w:t>
      </w:r>
    </w:p>
    <w:p w14:paraId="41253559" w14:textId="77777777" w:rsidR="004D18F1" w:rsidRPr="004D18F1" w:rsidRDefault="004D18F1" w:rsidP="004D18F1">
      <w:pPr>
        <w:spacing w:after="0"/>
        <w:jc w:val="both"/>
        <w:rPr>
          <w:rFonts w:cs="Calibri"/>
          <w:bCs/>
        </w:rPr>
      </w:pPr>
      <w:r w:rsidRPr="004D18F1">
        <w:rPr>
          <w:rFonts w:cs="Calibri"/>
          <w:bCs/>
        </w:rPr>
        <w:t>_ _h1/400Ön przy klasie tolerancji N2.</w:t>
      </w:r>
    </w:p>
    <w:p w14:paraId="4B7C81A8" w14:textId="77777777" w:rsidR="004D18F1" w:rsidRPr="004D18F1" w:rsidRDefault="004D18F1" w:rsidP="004D18F1">
      <w:pPr>
        <w:spacing w:after="0"/>
        <w:jc w:val="both"/>
        <w:rPr>
          <w:rFonts w:cs="Calibri"/>
          <w:b/>
          <w:bCs/>
        </w:rPr>
      </w:pPr>
      <w:r w:rsidRPr="004D18F1">
        <w:rPr>
          <w:rFonts w:cs="Calibri"/>
          <w:b/>
          <w:bCs/>
        </w:rPr>
        <w:t>Belki i płyty.</w:t>
      </w:r>
    </w:p>
    <w:p w14:paraId="0286DA35" w14:textId="77777777" w:rsidR="004D18F1" w:rsidRPr="004D18F1" w:rsidRDefault="004D18F1" w:rsidP="004D18F1">
      <w:pPr>
        <w:spacing w:after="0"/>
        <w:jc w:val="both"/>
        <w:rPr>
          <w:rFonts w:cs="Calibri"/>
          <w:bCs/>
        </w:rPr>
      </w:pPr>
      <w:r w:rsidRPr="004D18F1">
        <w:rPr>
          <w:rFonts w:cs="Calibri"/>
          <w:bCs/>
        </w:rPr>
        <w:t>Dopuszczalne odchylenie usytuowania osi belki w stosunku do osi stupa nie powinno być</w:t>
      </w:r>
      <w:r w:rsidR="00BA73A4">
        <w:rPr>
          <w:rFonts w:cs="Calibri"/>
          <w:bCs/>
        </w:rPr>
        <w:t xml:space="preserve"> </w:t>
      </w:r>
      <w:r w:rsidRPr="004D18F1">
        <w:rPr>
          <w:rFonts w:cs="Calibri"/>
          <w:bCs/>
        </w:rPr>
        <w:t>większe niż:</w:t>
      </w:r>
    </w:p>
    <w:p w14:paraId="0A6DE45F" w14:textId="77777777" w:rsidR="004D18F1" w:rsidRPr="004D18F1" w:rsidRDefault="004D18F1" w:rsidP="004D18F1">
      <w:pPr>
        <w:spacing w:after="0"/>
        <w:jc w:val="both"/>
        <w:rPr>
          <w:rFonts w:cs="Calibri"/>
          <w:bCs/>
        </w:rPr>
      </w:pPr>
      <w:r w:rsidRPr="004D18F1">
        <w:rPr>
          <w:rFonts w:cs="Calibri"/>
          <w:bCs/>
        </w:rPr>
        <w:t>± 10 mm przy klasie tolerancji N1,</w:t>
      </w:r>
    </w:p>
    <w:p w14:paraId="34DEBE12" w14:textId="77777777" w:rsidR="004D18F1" w:rsidRPr="004D18F1" w:rsidRDefault="004D18F1" w:rsidP="004D18F1">
      <w:pPr>
        <w:spacing w:after="0"/>
        <w:jc w:val="both"/>
        <w:rPr>
          <w:rFonts w:cs="Calibri"/>
          <w:bCs/>
        </w:rPr>
      </w:pPr>
      <w:r w:rsidRPr="004D18F1">
        <w:rPr>
          <w:rFonts w:cs="Calibri"/>
          <w:bCs/>
        </w:rPr>
        <w:t>± 5 mm przy klasie tolerancji N2.</w:t>
      </w:r>
    </w:p>
    <w:p w14:paraId="602E93CA" w14:textId="77777777" w:rsidR="004D18F1" w:rsidRPr="004D18F1" w:rsidRDefault="004D18F1" w:rsidP="004D18F1">
      <w:pPr>
        <w:spacing w:after="0"/>
        <w:jc w:val="both"/>
        <w:rPr>
          <w:rFonts w:cs="Calibri"/>
          <w:bCs/>
        </w:rPr>
      </w:pPr>
      <w:r w:rsidRPr="004D18F1">
        <w:rPr>
          <w:rFonts w:cs="Calibri"/>
          <w:bCs/>
        </w:rPr>
        <w:t>Dopuszczalne odchylenie poziomu podpór belki lub płyty o rozpiętości L nie powinno być</w:t>
      </w:r>
      <w:r w:rsidR="00BA73A4">
        <w:rPr>
          <w:rFonts w:cs="Calibri"/>
          <w:bCs/>
        </w:rPr>
        <w:t xml:space="preserve"> </w:t>
      </w:r>
      <w:r w:rsidRPr="004D18F1">
        <w:rPr>
          <w:rFonts w:cs="Calibri"/>
          <w:bCs/>
        </w:rPr>
        <w:t>większe niż:</w:t>
      </w:r>
    </w:p>
    <w:p w14:paraId="75E8A67A" w14:textId="77777777" w:rsidR="004D18F1" w:rsidRPr="004D18F1" w:rsidRDefault="004D18F1" w:rsidP="004D18F1">
      <w:pPr>
        <w:spacing w:after="0"/>
        <w:jc w:val="both"/>
        <w:rPr>
          <w:rFonts w:cs="Calibri"/>
          <w:bCs/>
        </w:rPr>
      </w:pPr>
      <w:r w:rsidRPr="004D18F1">
        <w:rPr>
          <w:rFonts w:cs="Calibri"/>
          <w:bCs/>
        </w:rPr>
        <w:t>± L/300 lub 15 mm przy klasie tolerancji N1,</w:t>
      </w:r>
    </w:p>
    <w:p w14:paraId="794782AA" w14:textId="77777777" w:rsidR="004D18F1" w:rsidRPr="004D18F1" w:rsidRDefault="004D18F1" w:rsidP="004D18F1">
      <w:pPr>
        <w:spacing w:after="0"/>
        <w:jc w:val="both"/>
        <w:rPr>
          <w:rFonts w:cs="Calibri"/>
          <w:bCs/>
        </w:rPr>
      </w:pPr>
      <w:r w:rsidRPr="004D18F1">
        <w:rPr>
          <w:rFonts w:cs="Calibri"/>
          <w:bCs/>
        </w:rPr>
        <w:t>± L/500 lub 10 mm przy klasie tolerancji N2.</w:t>
      </w:r>
    </w:p>
    <w:p w14:paraId="476CA6C6" w14:textId="77777777" w:rsidR="004D18F1" w:rsidRPr="004D18F1" w:rsidRDefault="004D18F1" w:rsidP="004D18F1">
      <w:pPr>
        <w:spacing w:after="0"/>
        <w:jc w:val="both"/>
        <w:rPr>
          <w:rFonts w:cs="Calibri"/>
          <w:bCs/>
        </w:rPr>
      </w:pPr>
      <w:r w:rsidRPr="004D18F1">
        <w:rPr>
          <w:rFonts w:cs="Calibri"/>
          <w:bCs/>
        </w:rPr>
        <w:t>Dopuszczalne odchylenie poziomu przyległych belek nie powinno być większe niż:</w:t>
      </w:r>
    </w:p>
    <w:p w14:paraId="2E46CCE0" w14:textId="77777777" w:rsidR="004D18F1" w:rsidRPr="004D18F1" w:rsidRDefault="004D18F1" w:rsidP="004D18F1">
      <w:pPr>
        <w:spacing w:after="0"/>
        <w:jc w:val="both"/>
        <w:rPr>
          <w:rFonts w:cs="Calibri"/>
          <w:bCs/>
        </w:rPr>
      </w:pPr>
      <w:r w:rsidRPr="004D18F1">
        <w:rPr>
          <w:rFonts w:cs="Calibri"/>
          <w:bCs/>
        </w:rPr>
        <w:t>±15 mm przy klasie tolerancji N1,</w:t>
      </w:r>
    </w:p>
    <w:p w14:paraId="6D2E8A22" w14:textId="77777777" w:rsidR="004D18F1" w:rsidRPr="004D18F1" w:rsidRDefault="004D18F1" w:rsidP="004D18F1">
      <w:pPr>
        <w:spacing w:after="0"/>
        <w:jc w:val="both"/>
        <w:rPr>
          <w:rFonts w:cs="Calibri"/>
          <w:bCs/>
        </w:rPr>
      </w:pPr>
      <w:r w:rsidRPr="004D18F1">
        <w:rPr>
          <w:rFonts w:cs="Calibri"/>
          <w:bCs/>
        </w:rPr>
        <w:t>± 10 mm przy klasie tolerancji N2.</w:t>
      </w:r>
    </w:p>
    <w:p w14:paraId="2D76359C" w14:textId="77777777" w:rsidR="004D18F1" w:rsidRPr="004D18F1" w:rsidRDefault="004D18F1" w:rsidP="004D18F1">
      <w:pPr>
        <w:spacing w:after="0"/>
        <w:jc w:val="both"/>
        <w:rPr>
          <w:rFonts w:cs="Calibri"/>
          <w:bCs/>
        </w:rPr>
      </w:pPr>
      <w:r w:rsidRPr="004D18F1">
        <w:rPr>
          <w:rFonts w:cs="Calibri"/>
          <w:bCs/>
        </w:rPr>
        <w:t>Dopuszczalne odchylenie rozstawu między belkami nie powinno być większe niż:</w:t>
      </w:r>
    </w:p>
    <w:p w14:paraId="2AF373DF" w14:textId="77777777" w:rsidR="004D18F1" w:rsidRPr="004D18F1" w:rsidRDefault="004D18F1" w:rsidP="004D18F1">
      <w:pPr>
        <w:spacing w:after="0"/>
        <w:jc w:val="both"/>
        <w:rPr>
          <w:rFonts w:cs="Calibri"/>
          <w:bCs/>
        </w:rPr>
      </w:pPr>
      <w:r w:rsidRPr="004D18F1">
        <w:rPr>
          <w:rFonts w:cs="Calibri"/>
          <w:bCs/>
        </w:rPr>
        <w:t>± 10 mm przy klasie tolerancji N1,</w:t>
      </w:r>
    </w:p>
    <w:p w14:paraId="58B0EF74" w14:textId="77777777" w:rsidR="004D18F1" w:rsidRPr="004D18F1" w:rsidRDefault="004D18F1" w:rsidP="004D18F1">
      <w:pPr>
        <w:spacing w:after="0"/>
        <w:jc w:val="both"/>
        <w:rPr>
          <w:rFonts w:cs="Calibri"/>
          <w:bCs/>
        </w:rPr>
      </w:pPr>
      <w:r w:rsidRPr="004D18F1">
        <w:rPr>
          <w:rFonts w:cs="Calibri"/>
          <w:bCs/>
        </w:rPr>
        <w:t>± 5 mm przy klasie tolerancji N2.</w:t>
      </w:r>
    </w:p>
    <w:p w14:paraId="16DF0CE2" w14:textId="77777777" w:rsidR="004D18F1" w:rsidRPr="004D18F1" w:rsidRDefault="004D18F1" w:rsidP="004D18F1">
      <w:pPr>
        <w:spacing w:after="0"/>
        <w:jc w:val="both"/>
        <w:rPr>
          <w:rFonts w:cs="Calibri"/>
          <w:bCs/>
        </w:rPr>
      </w:pPr>
      <w:r w:rsidRPr="004D18F1">
        <w:rPr>
          <w:rFonts w:cs="Calibri"/>
          <w:bCs/>
        </w:rPr>
        <w:t>Dopuszczalne wygięcie belek i płyt od poziomu nie powinno być większe niż:</w:t>
      </w:r>
    </w:p>
    <w:p w14:paraId="05FE087B" w14:textId="77777777" w:rsidR="004D18F1" w:rsidRPr="004D18F1" w:rsidRDefault="004D18F1" w:rsidP="004D18F1">
      <w:pPr>
        <w:spacing w:after="0"/>
        <w:jc w:val="both"/>
        <w:rPr>
          <w:rFonts w:cs="Calibri"/>
          <w:bCs/>
        </w:rPr>
      </w:pPr>
      <w:r w:rsidRPr="004D18F1">
        <w:rPr>
          <w:rFonts w:cs="Calibri"/>
          <w:bCs/>
        </w:rPr>
        <w:t>± 15 mm przy klasie tolerancji N1,</w:t>
      </w:r>
    </w:p>
    <w:p w14:paraId="7D980A02" w14:textId="77777777" w:rsidR="004D18F1" w:rsidRPr="004D18F1" w:rsidRDefault="004D18F1" w:rsidP="004D18F1">
      <w:pPr>
        <w:spacing w:after="0"/>
        <w:jc w:val="both"/>
        <w:rPr>
          <w:rFonts w:cs="Calibri"/>
          <w:bCs/>
        </w:rPr>
      </w:pPr>
      <w:r w:rsidRPr="004D18F1">
        <w:rPr>
          <w:rFonts w:cs="Calibri"/>
          <w:bCs/>
        </w:rPr>
        <w:t>±10 mm przy klasie tolerancji N2.</w:t>
      </w:r>
    </w:p>
    <w:p w14:paraId="4CC4D8D3" w14:textId="77777777" w:rsidR="004D18F1" w:rsidRPr="004D18F1" w:rsidRDefault="004D18F1" w:rsidP="004D18F1">
      <w:pPr>
        <w:spacing w:after="0"/>
        <w:jc w:val="both"/>
        <w:rPr>
          <w:rFonts w:cs="Calibri"/>
          <w:bCs/>
        </w:rPr>
      </w:pPr>
      <w:r w:rsidRPr="004D18F1">
        <w:rPr>
          <w:rFonts w:cs="Calibri"/>
          <w:bCs/>
        </w:rPr>
        <w:t>Dopuszczalne odchylenie poziomu przyległych stropów sąsiednich kondygnacji nie powinno</w:t>
      </w:r>
      <w:r w:rsidR="00BA73A4">
        <w:rPr>
          <w:rFonts w:cs="Calibri"/>
          <w:bCs/>
        </w:rPr>
        <w:t xml:space="preserve"> </w:t>
      </w:r>
      <w:r w:rsidRPr="004D18F1">
        <w:rPr>
          <w:rFonts w:cs="Calibri"/>
          <w:bCs/>
        </w:rPr>
        <w:t>być większe niż:</w:t>
      </w:r>
    </w:p>
    <w:p w14:paraId="36BEF849" w14:textId="77777777" w:rsidR="004D18F1" w:rsidRPr="004D18F1" w:rsidRDefault="004D18F1" w:rsidP="004D18F1">
      <w:pPr>
        <w:spacing w:after="0"/>
        <w:jc w:val="both"/>
        <w:rPr>
          <w:rFonts w:cs="Calibri"/>
          <w:bCs/>
        </w:rPr>
      </w:pPr>
      <w:r w:rsidRPr="004D18F1">
        <w:rPr>
          <w:rFonts w:cs="Calibri"/>
          <w:bCs/>
        </w:rPr>
        <w:t>± 15 mm przy klasie tolerancji N1, ± 10 mm przy klasie tolerancji N2.</w:t>
      </w:r>
    </w:p>
    <w:p w14:paraId="5747D5FF" w14:textId="77777777" w:rsidR="004D18F1" w:rsidRPr="004D18F1" w:rsidRDefault="004D18F1" w:rsidP="004D18F1">
      <w:pPr>
        <w:spacing w:after="0"/>
        <w:jc w:val="both"/>
        <w:rPr>
          <w:rFonts w:cs="Calibri"/>
          <w:bCs/>
        </w:rPr>
      </w:pPr>
      <w:r w:rsidRPr="004D18F1">
        <w:rPr>
          <w:rFonts w:cs="Calibri"/>
          <w:bCs/>
        </w:rPr>
        <w:t>Dopuszczalne odchylenie poziomu Hi stropu na najwyższej kondygnacji w stosunku do poziomu</w:t>
      </w:r>
      <w:r w:rsidR="00BA73A4">
        <w:rPr>
          <w:rFonts w:cs="Calibri"/>
          <w:bCs/>
        </w:rPr>
        <w:t xml:space="preserve"> </w:t>
      </w:r>
      <w:r w:rsidRPr="004D18F1">
        <w:rPr>
          <w:rFonts w:cs="Calibri"/>
          <w:bCs/>
        </w:rPr>
        <w:t>podstawy nie powinno być większe niż:</w:t>
      </w:r>
    </w:p>
    <w:p w14:paraId="79E96A6E" w14:textId="77777777" w:rsidR="004D18F1" w:rsidRPr="004D18F1" w:rsidRDefault="004D18F1" w:rsidP="004D18F1">
      <w:pPr>
        <w:spacing w:after="0"/>
        <w:jc w:val="both"/>
        <w:rPr>
          <w:rFonts w:cs="Calibri"/>
          <w:bCs/>
        </w:rPr>
      </w:pPr>
      <w:r w:rsidRPr="004D18F1">
        <w:rPr>
          <w:rFonts w:cs="Calibri"/>
          <w:bCs/>
        </w:rPr>
        <w:lastRenderedPageBreak/>
        <w:t>± 20 mm przy Hi £ 20 m,</w:t>
      </w:r>
    </w:p>
    <w:p w14:paraId="0AA4F327" w14:textId="77777777" w:rsidR="004D18F1" w:rsidRPr="004D18F1" w:rsidRDefault="004D18F1" w:rsidP="004D18F1">
      <w:pPr>
        <w:spacing w:after="0"/>
        <w:jc w:val="both"/>
        <w:rPr>
          <w:rFonts w:cs="Calibri"/>
          <w:bCs/>
        </w:rPr>
      </w:pPr>
      <w:r w:rsidRPr="004D18F1">
        <w:rPr>
          <w:rFonts w:cs="Calibri"/>
          <w:bCs/>
        </w:rPr>
        <w:t>± 0,5 (Hi+20) przy 20 m &lt; K &lt; 100 m,</w:t>
      </w:r>
    </w:p>
    <w:p w14:paraId="7510D5F0" w14:textId="77777777" w:rsidR="00284EF9" w:rsidRDefault="004D18F1" w:rsidP="004D18F1">
      <w:pPr>
        <w:spacing w:after="0"/>
        <w:jc w:val="both"/>
        <w:rPr>
          <w:rFonts w:cs="Calibri"/>
          <w:bCs/>
        </w:rPr>
      </w:pPr>
      <w:r w:rsidRPr="004D18F1">
        <w:rPr>
          <w:rFonts w:cs="Calibri"/>
          <w:bCs/>
        </w:rPr>
        <w:t>± 0,2 (Hi+200) przy Hi &gt; 100m.</w:t>
      </w:r>
    </w:p>
    <w:p w14:paraId="21EC4FED" w14:textId="77777777" w:rsidR="0082269B" w:rsidRPr="0082269B" w:rsidRDefault="0082269B" w:rsidP="0082269B">
      <w:pPr>
        <w:spacing w:after="0"/>
        <w:jc w:val="both"/>
        <w:rPr>
          <w:rFonts w:cs="Calibri"/>
          <w:b/>
          <w:bCs/>
        </w:rPr>
      </w:pPr>
      <w:r w:rsidRPr="0082269B">
        <w:rPr>
          <w:rFonts w:cs="Calibri"/>
          <w:b/>
          <w:bCs/>
        </w:rPr>
        <w:t>Przekroje.</w:t>
      </w:r>
    </w:p>
    <w:p w14:paraId="01C2F4C5" w14:textId="77777777" w:rsidR="0082269B" w:rsidRPr="0082269B" w:rsidRDefault="0082269B" w:rsidP="0082269B">
      <w:pPr>
        <w:spacing w:after="0"/>
        <w:jc w:val="both"/>
        <w:rPr>
          <w:rFonts w:cs="Calibri"/>
          <w:bCs/>
        </w:rPr>
      </w:pPr>
      <w:r w:rsidRPr="0082269B">
        <w:rPr>
          <w:rFonts w:cs="Calibri"/>
          <w:bCs/>
        </w:rPr>
        <w:t>Dopuszczalne odchylenie wymiaru Ii przekroju poprzecznego elementu nie powinno być</w:t>
      </w:r>
      <w:r>
        <w:rPr>
          <w:rFonts w:cs="Calibri"/>
          <w:bCs/>
        </w:rPr>
        <w:t xml:space="preserve"> </w:t>
      </w:r>
      <w:r w:rsidRPr="0082269B">
        <w:rPr>
          <w:rFonts w:cs="Calibri"/>
          <w:bCs/>
        </w:rPr>
        <w:t>większe niż:</w:t>
      </w:r>
    </w:p>
    <w:p w14:paraId="2F34C97D" w14:textId="77777777" w:rsidR="0082269B" w:rsidRPr="0082269B" w:rsidRDefault="0082269B" w:rsidP="0082269B">
      <w:pPr>
        <w:spacing w:after="0"/>
        <w:jc w:val="both"/>
        <w:rPr>
          <w:rFonts w:cs="Calibri"/>
          <w:bCs/>
        </w:rPr>
      </w:pPr>
      <w:r w:rsidRPr="0082269B">
        <w:rPr>
          <w:rFonts w:cs="Calibri"/>
          <w:bCs/>
        </w:rPr>
        <w:t>± 0,04 Ii lub 10 mm przy klasie tolerancji N1,</w:t>
      </w:r>
    </w:p>
    <w:p w14:paraId="1722826D" w14:textId="77777777" w:rsidR="004D18F1" w:rsidRDefault="0082269B" w:rsidP="0082269B">
      <w:pPr>
        <w:spacing w:after="0"/>
        <w:jc w:val="both"/>
        <w:rPr>
          <w:rFonts w:cs="Calibri"/>
          <w:bCs/>
        </w:rPr>
      </w:pPr>
      <w:r w:rsidRPr="0082269B">
        <w:rPr>
          <w:rFonts w:cs="Calibri"/>
          <w:bCs/>
        </w:rPr>
        <w:t>± 0,02 I; lub 5 mm przy klasie tolerancji N2.</w:t>
      </w:r>
    </w:p>
    <w:p w14:paraId="21F25B0D" w14:textId="77777777" w:rsidR="0082269B" w:rsidRPr="0082269B" w:rsidRDefault="0082269B" w:rsidP="0082269B">
      <w:pPr>
        <w:spacing w:after="0"/>
        <w:jc w:val="both"/>
        <w:rPr>
          <w:rFonts w:cs="Calibri"/>
          <w:bCs/>
        </w:rPr>
      </w:pPr>
      <w:r w:rsidRPr="0082269B">
        <w:rPr>
          <w:rFonts w:cs="Calibri"/>
          <w:bCs/>
        </w:rPr>
        <w:t>Dopuszczalne odchylenie szerokości przekroju elementu na poziomach górnym i dolnym oraz</w:t>
      </w:r>
      <w:r>
        <w:rPr>
          <w:rFonts w:cs="Calibri"/>
          <w:bCs/>
        </w:rPr>
        <w:t xml:space="preserve"> </w:t>
      </w:r>
      <w:r w:rsidRPr="0082269B">
        <w:rPr>
          <w:rFonts w:cs="Calibri"/>
          <w:bCs/>
        </w:rPr>
        <w:t>odchylenie płaszczyzny bocznej od pionu nie powinno być większe niż:</w:t>
      </w:r>
    </w:p>
    <w:p w14:paraId="699BD830" w14:textId="77777777" w:rsidR="0082269B" w:rsidRPr="0082269B" w:rsidRDefault="0082269B" w:rsidP="0082269B">
      <w:pPr>
        <w:spacing w:after="0"/>
        <w:jc w:val="both"/>
        <w:rPr>
          <w:rFonts w:cs="Calibri"/>
          <w:bCs/>
        </w:rPr>
      </w:pPr>
      <w:r w:rsidRPr="0082269B">
        <w:rPr>
          <w:rFonts w:cs="Calibri"/>
          <w:bCs/>
        </w:rPr>
        <w:t>± 0,04 Ii lub 10 mm przy klasie tolerancji N1,</w:t>
      </w:r>
    </w:p>
    <w:p w14:paraId="1AC19ACE" w14:textId="77777777" w:rsidR="0082269B" w:rsidRPr="0082269B" w:rsidRDefault="0082269B" w:rsidP="0082269B">
      <w:pPr>
        <w:spacing w:after="0"/>
        <w:jc w:val="both"/>
        <w:rPr>
          <w:rFonts w:cs="Calibri"/>
          <w:bCs/>
        </w:rPr>
      </w:pPr>
      <w:r w:rsidRPr="0082269B">
        <w:rPr>
          <w:rFonts w:cs="Calibri"/>
          <w:bCs/>
        </w:rPr>
        <w:t>± 0,02 Ii lub 5 mm przy klasie tolerancji N2.</w:t>
      </w:r>
    </w:p>
    <w:p w14:paraId="105CA3DC" w14:textId="77777777" w:rsidR="0082269B" w:rsidRPr="0082269B" w:rsidRDefault="0082269B" w:rsidP="0082269B">
      <w:pPr>
        <w:spacing w:after="0"/>
        <w:jc w:val="both"/>
        <w:rPr>
          <w:rFonts w:cs="Calibri"/>
          <w:bCs/>
        </w:rPr>
      </w:pPr>
      <w:r w:rsidRPr="0082269B">
        <w:rPr>
          <w:rFonts w:cs="Calibri"/>
          <w:bCs/>
        </w:rPr>
        <w:t>Dopuszczalne odchylenie usytuowania strzemion nie powinno być większe niż:</w:t>
      </w:r>
    </w:p>
    <w:p w14:paraId="4D06EC4A" w14:textId="77777777" w:rsidR="0082269B" w:rsidRPr="0082269B" w:rsidRDefault="0082269B" w:rsidP="0082269B">
      <w:pPr>
        <w:spacing w:after="0"/>
        <w:jc w:val="both"/>
        <w:rPr>
          <w:rFonts w:cs="Calibri"/>
          <w:bCs/>
        </w:rPr>
      </w:pPr>
      <w:r w:rsidRPr="0082269B">
        <w:rPr>
          <w:rFonts w:cs="Calibri"/>
          <w:bCs/>
        </w:rPr>
        <w:t>± 10 mm przy klasie tolerancji N1,</w:t>
      </w:r>
    </w:p>
    <w:p w14:paraId="1DA3A3A8" w14:textId="77777777" w:rsidR="0082269B" w:rsidRPr="0082269B" w:rsidRDefault="0082269B" w:rsidP="0082269B">
      <w:pPr>
        <w:spacing w:after="0"/>
        <w:jc w:val="both"/>
        <w:rPr>
          <w:rFonts w:cs="Calibri"/>
          <w:bCs/>
        </w:rPr>
      </w:pPr>
      <w:r w:rsidRPr="0082269B">
        <w:rPr>
          <w:rFonts w:cs="Calibri"/>
          <w:bCs/>
        </w:rPr>
        <w:t>± 5 mm przy klasie tolerancji N2.</w:t>
      </w:r>
    </w:p>
    <w:p w14:paraId="29CA3687" w14:textId="77777777" w:rsidR="0082269B" w:rsidRPr="0082269B" w:rsidRDefault="0082269B" w:rsidP="0082269B">
      <w:pPr>
        <w:spacing w:after="0"/>
        <w:jc w:val="both"/>
        <w:rPr>
          <w:rFonts w:cs="Calibri"/>
          <w:bCs/>
        </w:rPr>
      </w:pPr>
      <w:r w:rsidRPr="0082269B">
        <w:rPr>
          <w:rFonts w:cs="Calibri"/>
          <w:bCs/>
        </w:rPr>
        <w:t>Dopuszczalne odchylenie usytuowania odgięć i połączeń prętów nie powinno być większe niż:</w:t>
      </w:r>
    </w:p>
    <w:p w14:paraId="4D9AB25B" w14:textId="77777777" w:rsidR="0082269B" w:rsidRPr="0082269B" w:rsidRDefault="0082269B" w:rsidP="0082269B">
      <w:pPr>
        <w:spacing w:after="0"/>
        <w:jc w:val="both"/>
        <w:rPr>
          <w:rFonts w:cs="Calibri"/>
          <w:bCs/>
        </w:rPr>
      </w:pPr>
      <w:r w:rsidRPr="0082269B">
        <w:rPr>
          <w:rFonts w:cs="Calibri"/>
          <w:bCs/>
        </w:rPr>
        <w:t>± 10 mm przy klasie tolerancji N1,</w:t>
      </w:r>
    </w:p>
    <w:p w14:paraId="42B93AAE" w14:textId="77777777" w:rsidR="0082269B" w:rsidRPr="0082269B" w:rsidRDefault="0082269B" w:rsidP="0082269B">
      <w:pPr>
        <w:spacing w:after="0"/>
        <w:jc w:val="both"/>
        <w:rPr>
          <w:rFonts w:cs="Calibri"/>
          <w:bCs/>
        </w:rPr>
      </w:pPr>
      <w:r w:rsidRPr="0082269B">
        <w:rPr>
          <w:rFonts w:cs="Calibri"/>
          <w:bCs/>
        </w:rPr>
        <w:t>± 5 mm przy klasie tolerancji N2.</w:t>
      </w:r>
    </w:p>
    <w:p w14:paraId="570CF515" w14:textId="77777777" w:rsidR="0082269B" w:rsidRPr="0082269B" w:rsidRDefault="0082269B" w:rsidP="0082269B">
      <w:pPr>
        <w:spacing w:after="0"/>
        <w:jc w:val="both"/>
        <w:rPr>
          <w:rFonts w:cs="Calibri"/>
          <w:b/>
          <w:bCs/>
        </w:rPr>
      </w:pPr>
      <w:r w:rsidRPr="0082269B">
        <w:rPr>
          <w:rFonts w:cs="Calibri"/>
          <w:b/>
          <w:bCs/>
        </w:rPr>
        <w:t>Powierzchnie i kraw</w:t>
      </w:r>
      <w:r w:rsidRPr="0082269B">
        <w:rPr>
          <w:rFonts w:cs="Calibri"/>
          <w:bCs/>
        </w:rPr>
        <w:t>ę</w:t>
      </w:r>
      <w:r w:rsidRPr="0082269B">
        <w:rPr>
          <w:rFonts w:cs="Calibri"/>
          <w:b/>
          <w:bCs/>
        </w:rPr>
        <w:t>dzie.</w:t>
      </w:r>
    </w:p>
    <w:p w14:paraId="27231899" w14:textId="77777777" w:rsidR="0082269B" w:rsidRPr="0082269B" w:rsidRDefault="0082269B" w:rsidP="0082269B">
      <w:pPr>
        <w:spacing w:after="0"/>
        <w:jc w:val="both"/>
        <w:rPr>
          <w:rFonts w:cs="Calibri"/>
          <w:bCs/>
        </w:rPr>
      </w:pPr>
      <w:r w:rsidRPr="0082269B">
        <w:rPr>
          <w:rFonts w:cs="Calibri"/>
          <w:bCs/>
        </w:rPr>
        <w:t>Dopuszczalne odchylenia od płaskiej formowanej lub wygładzonej powierzchni na odcinku 2 m</w:t>
      </w:r>
      <w:r>
        <w:rPr>
          <w:rFonts w:cs="Calibri"/>
          <w:bCs/>
        </w:rPr>
        <w:t xml:space="preserve"> </w:t>
      </w:r>
      <w:r w:rsidRPr="0082269B">
        <w:rPr>
          <w:rFonts w:cs="Calibri"/>
          <w:bCs/>
        </w:rPr>
        <w:t>nie powinny być większe niż:</w:t>
      </w:r>
    </w:p>
    <w:p w14:paraId="087363A0" w14:textId="77777777" w:rsidR="0082269B" w:rsidRPr="0082269B" w:rsidRDefault="0082269B" w:rsidP="0082269B">
      <w:pPr>
        <w:spacing w:after="0"/>
        <w:jc w:val="both"/>
        <w:rPr>
          <w:rFonts w:cs="Calibri"/>
          <w:bCs/>
        </w:rPr>
      </w:pPr>
      <w:r w:rsidRPr="0082269B">
        <w:rPr>
          <w:rFonts w:cs="Calibri"/>
          <w:bCs/>
        </w:rPr>
        <w:t>_ 7 mm przy klasie tolerancji N1,</w:t>
      </w:r>
    </w:p>
    <w:p w14:paraId="4DC1B3E3" w14:textId="77777777" w:rsidR="0082269B" w:rsidRPr="0082269B" w:rsidRDefault="0082269B" w:rsidP="0082269B">
      <w:pPr>
        <w:spacing w:after="0"/>
        <w:jc w:val="both"/>
        <w:rPr>
          <w:rFonts w:cs="Calibri"/>
          <w:bCs/>
        </w:rPr>
      </w:pPr>
      <w:r w:rsidRPr="0082269B">
        <w:rPr>
          <w:rFonts w:cs="Calibri"/>
          <w:bCs/>
        </w:rPr>
        <w:t>_ 5 mm przy klasie tolerancji N2.</w:t>
      </w:r>
    </w:p>
    <w:p w14:paraId="1B1EDF3D" w14:textId="77777777" w:rsidR="0082269B" w:rsidRPr="0082269B" w:rsidRDefault="0082269B" w:rsidP="0082269B">
      <w:pPr>
        <w:spacing w:after="0"/>
        <w:jc w:val="both"/>
        <w:rPr>
          <w:rFonts w:cs="Calibri"/>
          <w:bCs/>
        </w:rPr>
      </w:pPr>
      <w:r w:rsidRPr="0082269B">
        <w:rPr>
          <w:rFonts w:cs="Calibri"/>
          <w:bCs/>
        </w:rPr>
        <w:t>Dopuszczalne odchylenia od płaskiej niewygładzonej powierzchni na odcinku 2 m nie powinny</w:t>
      </w:r>
      <w:r>
        <w:rPr>
          <w:rFonts w:cs="Calibri"/>
          <w:bCs/>
        </w:rPr>
        <w:t xml:space="preserve"> </w:t>
      </w:r>
      <w:r w:rsidRPr="0082269B">
        <w:rPr>
          <w:rFonts w:cs="Calibri"/>
          <w:bCs/>
        </w:rPr>
        <w:t>być większe niż:</w:t>
      </w:r>
    </w:p>
    <w:p w14:paraId="0A66DD7D" w14:textId="77777777" w:rsidR="0082269B" w:rsidRPr="0082269B" w:rsidRDefault="0082269B" w:rsidP="0082269B">
      <w:pPr>
        <w:spacing w:after="0"/>
        <w:jc w:val="both"/>
        <w:rPr>
          <w:rFonts w:cs="Calibri"/>
          <w:bCs/>
        </w:rPr>
      </w:pPr>
      <w:r w:rsidRPr="0082269B">
        <w:rPr>
          <w:rFonts w:cs="Calibri"/>
          <w:bCs/>
        </w:rPr>
        <w:t>_ 15 mm przy klasie tolerancji N1,</w:t>
      </w:r>
    </w:p>
    <w:p w14:paraId="274BABF9" w14:textId="77777777" w:rsidR="0082269B" w:rsidRPr="0082269B" w:rsidRDefault="0082269B" w:rsidP="0082269B">
      <w:pPr>
        <w:spacing w:after="0"/>
        <w:jc w:val="both"/>
        <w:rPr>
          <w:rFonts w:cs="Calibri"/>
          <w:bCs/>
        </w:rPr>
      </w:pPr>
      <w:r w:rsidRPr="0082269B">
        <w:rPr>
          <w:rFonts w:cs="Calibri"/>
          <w:bCs/>
        </w:rPr>
        <w:t>_ 10 mm przy klasie tolerancji N2.</w:t>
      </w:r>
    </w:p>
    <w:p w14:paraId="1D1145B4" w14:textId="77777777" w:rsidR="0082269B" w:rsidRPr="0082269B" w:rsidRDefault="0082269B" w:rsidP="0082269B">
      <w:pPr>
        <w:spacing w:after="0"/>
        <w:jc w:val="both"/>
        <w:rPr>
          <w:rFonts w:cs="Calibri"/>
          <w:bCs/>
        </w:rPr>
      </w:pPr>
      <w:r w:rsidRPr="0082269B">
        <w:rPr>
          <w:rFonts w:cs="Calibri"/>
          <w:bCs/>
        </w:rPr>
        <w:t>Dopuszczalne lokalne odchylenia od płaskiej formowanej lub wygładzonej powierzchni na</w:t>
      </w:r>
      <w:r>
        <w:rPr>
          <w:rFonts w:cs="Calibri"/>
          <w:bCs/>
        </w:rPr>
        <w:t xml:space="preserve"> </w:t>
      </w:r>
      <w:r w:rsidRPr="0082269B">
        <w:rPr>
          <w:rFonts w:cs="Calibri"/>
          <w:bCs/>
        </w:rPr>
        <w:t>odcinku 0,2 m nie powinny być większe niż:</w:t>
      </w:r>
    </w:p>
    <w:p w14:paraId="3AABC07D" w14:textId="77777777" w:rsidR="0082269B" w:rsidRPr="0082269B" w:rsidRDefault="0082269B" w:rsidP="0082269B">
      <w:pPr>
        <w:spacing w:after="0"/>
        <w:jc w:val="both"/>
        <w:rPr>
          <w:rFonts w:cs="Calibri"/>
          <w:bCs/>
        </w:rPr>
      </w:pPr>
      <w:r w:rsidRPr="0082269B">
        <w:rPr>
          <w:rFonts w:cs="Calibri"/>
          <w:bCs/>
        </w:rPr>
        <w:t>_ 5 mm przy klasie tolerancji N1,</w:t>
      </w:r>
    </w:p>
    <w:p w14:paraId="6A045ACB" w14:textId="77777777" w:rsidR="0082269B" w:rsidRPr="0082269B" w:rsidRDefault="0082269B" w:rsidP="0082269B">
      <w:pPr>
        <w:spacing w:after="0"/>
        <w:jc w:val="both"/>
        <w:rPr>
          <w:rFonts w:cs="Calibri"/>
          <w:bCs/>
        </w:rPr>
      </w:pPr>
      <w:r w:rsidRPr="0082269B">
        <w:rPr>
          <w:rFonts w:cs="Calibri"/>
          <w:bCs/>
        </w:rPr>
        <w:t>_ 2 mm przy klasie tolerancji N2.</w:t>
      </w:r>
    </w:p>
    <w:p w14:paraId="441C005A" w14:textId="77777777" w:rsidR="0082269B" w:rsidRPr="0082269B" w:rsidRDefault="0082269B" w:rsidP="0082269B">
      <w:pPr>
        <w:spacing w:after="0"/>
        <w:jc w:val="both"/>
        <w:rPr>
          <w:rFonts w:cs="Calibri"/>
          <w:bCs/>
        </w:rPr>
      </w:pPr>
      <w:r w:rsidRPr="0082269B">
        <w:rPr>
          <w:rFonts w:cs="Calibri"/>
          <w:bCs/>
        </w:rPr>
        <w:t>Dopuszczalne lokalne odchylenia od płaskiej niewygładzonej powierzchni na odcinku 0,2 m nie</w:t>
      </w:r>
      <w:r>
        <w:rPr>
          <w:rFonts w:cs="Calibri"/>
          <w:bCs/>
        </w:rPr>
        <w:t xml:space="preserve"> </w:t>
      </w:r>
      <w:r w:rsidRPr="0082269B">
        <w:rPr>
          <w:rFonts w:cs="Calibri"/>
          <w:bCs/>
        </w:rPr>
        <w:t>powinny być większe niż:</w:t>
      </w:r>
    </w:p>
    <w:p w14:paraId="01465809" w14:textId="77777777" w:rsidR="0082269B" w:rsidRPr="0082269B" w:rsidRDefault="0082269B" w:rsidP="0082269B">
      <w:pPr>
        <w:spacing w:after="0"/>
        <w:jc w:val="both"/>
        <w:rPr>
          <w:rFonts w:cs="Calibri"/>
          <w:bCs/>
        </w:rPr>
      </w:pPr>
      <w:r w:rsidRPr="0082269B">
        <w:rPr>
          <w:rFonts w:cs="Calibri"/>
          <w:bCs/>
        </w:rPr>
        <w:t>_ 6 mm przy klasie tolerancji N1,</w:t>
      </w:r>
    </w:p>
    <w:p w14:paraId="02AC14DC" w14:textId="77777777" w:rsidR="0082269B" w:rsidRPr="0082269B" w:rsidRDefault="0082269B" w:rsidP="0082269B">
      <w:pPr>
        <w:spacing w:after="0"/>
        <w:jc w:val="both"/>
        <w:rPr>
          <w:rFonts w:cs="Calibri"/>
          <w:bCs/>
        </w:rPr>
      </w:pPr>
      <w:r w:rsidRPr="0082269B">
        <w:rPr>
          <w:rFonts w:cs="Calibri"/>
          <w:bCs/>
        </w:rPr>
        <w:t>_ 4 mm przy klasie tolerancji N2.</w:t>
      </w:r>
    </w:p>
    <w:p w14:paraId="1EA8E942" w14:textId="77777777" w:rsidR="0082269B" w:rsidRPr="0082269B" w:rsidRDefault="0082269B" w:rsidP="0082269B">
      <w:pPr>
        <w:spacing w:after="0"/>
        <w:jc w:val="both"/>
        <w:rPr>
          <w:rFonts w:cs="Calibri"/>
          <w:bCs/>
        </w:rPr>
      </w:pPr>
      <w:r w:rsidRPr="0082269B">
        <w:rPr>
          <w:rFonts w:cs="Calibri"/>
          <w:bCs/>
        </w:rPr>
        <w:t>Dopuszczalne odchylenia elementu o długości L (w mm) powodujące jego skośność (odchylenie</w:t>
      </w:r>
      <w:r>
        <w:rPr>
          <w:rFonts w:cs="Calibri"/>
          <w:bCs/>
        </w:rPr>
        <w:t xml:space="preserve"> </w:t>
      </w:r>
      <w:r w:rsidRPr="0082269B">
        <w:rPr>
          <w:rFonts w:cs="Calibri"/>
          <w:bCs/>
        </w:rPr>
        <w:t>od obrysu) w płaszczyźnie nie powinno być większe niż:</w:t>
      </w:r>
    </w:p>
    <w:p w14:paraId="510943D4" w14:textId="77777777" w:rsidR="0082269B" w:rsidRPr="0082269B" w:rsidRDefault="0082269B" w:rsidP="0082269B">
      <w:pPr>
        <w:spacing w:after="0"/>
        <w:jc w:val="both"/>
        <w:rPr>
          <w:rFonts w:cs="Calibri"/>
          <w:bCs/>
        </w:rPr>
      </w:pPr>
      <w:r w:rsidRPr="0082269B">
        <w:rPr>
          <w:rFonts w:cs="Calibri"/>
          <w:bCs/>
        </w:rPr>
        <w:t>_ L/100 ^ 20 mm przy klasie tolerancji N1,</w:t>
      </w:r>
    </w:p>
    <w:p w14:paraId="6B7C0C12" w14:textId="77777777" w:rsidR="0082269B" w:rsidRPr="0082269B" w:rsidRDefault="0082269B" w:rsidP="0082269B">
      <w:pPr>
        <w:spacing w:after="0"/>
        <w:jc w:val="both"/>
        <w:rPr>
          <w:rFonts w:cs="Calibri"/>
          <w:bCs/>
        </w:rPr>
      </w:pPr>
      <w:r w:rsidRPr="0082269B">
        <w:rPr>
          <w:rFonts w:cs="Calibri"/>
          <w:bCs/>
        </w:rPr>
        <w:t>_ L/200 &lt; 10 mm przy klasie tolerancji N2.</w:t>
      </w:r>
    </w:p>
    <w:p w14:paraId="10E7EDDA" w14:textId="77777777" w:rsidR="0082269B" w:rsidRPr="0082269B" w:rsidRDefault="0082269B" w:rsidP="0082269B">
      <w:pPr>
        <w:spacing w:after="0"/>
        <w:jc w:val="both"/>
        <w:rPr>
          <w:rFonts w:cs="Calibri"/>
          <w:bCs/>
        </w:rPr>
      </w:pPr>
      <w:r w:rsidRPr="0082269B">
        <w:rPr>
          <w:rFonts w:cs="Calibri"/>
          <w:bCs/>
        </w:rPr>
        <w:t>Dopuszczalne odchylenia linii krawędzi elementu na odcinku 1,0 m nie powinno być większe</w:t>
      </w:r>
      <w:r>
        <w:rPr>
          <w:rFonts w:cs="Calibri"/>
          <w:bCs/>
        </w:rPr>
        <w:t xml:space="preserve"> </w:t>
      </w:r>
      <w:r w:rsidRPr="0082269B">
        <w:rPr>
          <w:rFonts w:cs="Calibri"/>
          <w:bCs/>
        </w:rPr>
        <w:t>niż:</w:t>
      </w:r>
    </w:p>
    <w:p w14:paraId="2C9C7979" w14:textId="77777777" w:rsidR="0082269B" w:rsidRPr="0082269B" w:rsidRDefault="0082269B" w:rsidP="0082269B">
      <w:pPr>
        <w:spacing w:after="0"/>
        <w:jc w:val="both"/>
        <w:rPr>
          <w:rFonts w:cs="Calibri"/>
          <w:bCs/>
        </w:rPr>
      </w:pPr>
      <w:r w:rsidRPr="0082269B">
        <w:rPr>
          <w:rFonts w:cs="Calibri"/>
          <w:bCs/>
        </w:rPr>
        <w:t>_ 4 mm przy klasie tolerancji N1,</w:t>
      </w:r>
    </w:p>
    <w:p w14:paraId="09ECD00E" w14:textId="77777777" w:rsidR="00BA73A4" w:rsidRDefault="0082269B" w:rsidP="0082269B">
      <w:pPr>
        <w:spacing w:after="0"/>
        <w:jc w:val="both"/>
        <w:rPr>
          <w:rFonts w:cs="Calibri"/>
          <w:bCs/>
        </w:rPr>
      </w:pPr>
      <w:r w:rsidRPr="0082269B">
        <w:rPr>
          <w:rFonts w:cs="Calibri"/>
          <w:bCs/>
        </w:rPr>
        <w:t>_ 2 mm przy klasie tolerancji N2.</w:t>
      </w:r>
    </w:p>
    <w:p w14:paraId="5CF66C4C" w14:textId="77777777" w:rsidR="0082269B" w:rsidRPr="0082269B" w:rsidRDefault="0082269B" w:rsidP="0082269B">
      <w:pPr>
        <w:spacing w:after="0"/>
        <w:jc w:val="both"/>
        <w:rPr>
          <w:rFonts w:cs="Calibri"/>
          <w:b/>
          <w:bCs/>
        </w:rPr>
      </w:pPr>
      <w:r w:rsidRPr="0082269B">
        <w:rPr>
          <w:rFonts w:cs="Calibri"/>
          <w:b/>
          <w:bCs/>
        </w:rPr>
        <w:t>Otwory i wkładki.</w:t>
      </w:r>
    </w:p>
    <w:p w14:paraId="74A576D3" w14:textId="77777777" w:rsidR="0082269B" w:rsidRPr="0082269B" w:rsidRDefault="0082269B" w:rsidP="0082269B">
      <w:pPr>
        <w:spacing w:after="0"/>
        <w:jc w:val="both"/>
        <w:rPr>
          <w:rFonts w:cs="Calibri"/>
          <w:bCs/>
        </w:rPr>
      </w:pPr>
      <w:r w:rsidRPr="0082269B">
        <w:rPr>
          <w:rFonts w:cs="Calibri"/>
          <w:bCs/>
        </w:rPr>
        <w:t>Dopuszczalne odchylenia w usytuowaniu otworów i wkładek nie powinno być większe niż:</w:t>
      </w:r>
    </w:p>
    <w:p w14:paraId="0ACC66FB" w14:textId="77777777" w:rsidR="0082269B" w:rsidRPr="0082269B" w:rsidRDefault="0082269B" w:rsidP="0082269B">
      <w:pPr>
        <w:spacing w:after="0"/>
        <w:jc w:val="both"/>
        <w:rPr>
          <w:rFonts w:cs="Calibri"/>
          <w:bCs/>
        </w:rPr>
      </w:pPr>
      <w:r w:rsidRPr="0082269B">
        <w:rPr>
          <w:rFonts w:cs="Calibri"/>
          <w:bCs/>
        </w:rPr>
        <w:t>± 10 mm przy klasie tolerancji N1,</w:t>
      </w:r>
    </w:p>
    <w:p w14:paraId="5E975511" w14:textId="77777777" w:rsidR="0082269B" w:rsidRPr="0082269B" w:rsidRDefault="0082269B" w:rsidP="0082269B">
      <w:pPr>
        <w:spacing w:after="0"/>
        <w:jc w:val="both"/>
        <w:rPr>
          <w:rFonts w:cs="Calibri"/>
          <w:bCs/>
        </w:rPr>
      </w:pPr>
      <w:r w:rsidRPr="0082269B">
        <w:rPr>
          <w:rFonts w:cs="Calibri"/>
          <w:bCs/>
        </w:rPr>
        <w:t>± 5 mm przy klasie tolerancji N2.</w:t>
      </w:r>
    </w:p>
    <w:p w14:paraId="6EA75B9E" w14:textId="77777777" w:rsidR="0082269B" w:rsidRPr="0082269B" w:rsidRDefault="0082269B" w:rsidP="0082269B">
      <w:pPr>
        <w:spacing w:after="0"/>
        <w:jc w:val="both"/>
        <w:rPr>
          <w:rFonts w:cs="Calibri"/>
          <w:b/>
          <w:bCs/>
        </w:rPr>
      </w:pPr>
      <w:r w:rsidRPr="0082269B">
        <w:rPr>
          <w:rFonts w:cs="Calibri"/>
          <w:b/>
          <w:bCs/>
        </w:rPr>
        <w:lastRenderedPageBreak/>
        <w:t>Deskowanie.</w:t>
      </w:r>
    </w:p>
    <w:p w14:paraId="2572B290" w14:textId="77777777" w:rsidR="0082269B" w:rsidRPr="0082269B" w:rsidRDefault="0082269B" w:rsidP="0082269B">
      <w:pPr>
        <w:spacing w:after="0"/>
        <w:jc w:val="both"/>
        <w:rPr>
          <w:rFonts w:cs="Calibri"/>
          <w:bCs/>
        </w:rPr>
      </w:pPr>
      <w:r w:rsidRPr="0082269B">
        <w:rPr>
          <w:rFonts w:cs="Calibri"/>
          <w:bCs/>
        </w:rPr>
        <w:t xml:space="preserve">Dopuszcza się następujące odchyłki wymiarowe przy wykonywaniu </w:t>
      </w:r>
      <w:proofErr w:type="spellStart"/>
      <w:r w:rsidRPr="0082269B">
        <w:rPr>
          <w:rFonts w:cs="Calibri"/>
          <w:bCs/>
        </w:rPr>
        <w:t>deskowań</w:t>
      </w:r>
      <w:proofErr w:type="spellEnd"/>
      <w:r w:rsidRPr="0082269B">
        <w:rPr>
          <w:rFonts w:cs="Calibri"/>
          <w:bCs/>
        </w:rPr>
        <w:t>:</w:t>
      </w:r>
    </w:p>
    <w:p w14:paraId="3C390306" w14:textId="77777777" w:rsidR="0082269B" w:rsidRPr="0082269B" w:rsidRDefault="0082269B" w:rsidP="0082269B">
      <w:pPr>
        <w:spacing w:after="0"/>
        <w:jc w:val="both"/>
        <w:rPr>
          <w:rFonts w:cs="Calibri"/>
          <w:bCs/>
        </w:rPr>
      </w:pPr>
      <w:r w:rsidRPr="0082269B">
        <w:rPr>
          <w:rFonts w:cs="Calibri"/>
          <w:bCs/>
        </w:rPr>
        <w:t>_ odchyłka płaszczyzny lub krawędzi od pionu na 1m - 2 mm,</w:t>
      </w:r>
    </w:p>
    <w:p w14:paraId="7235C64F" w14:textId="77777777" w:rsidR="0082269B" w:rsidRPr="0082269B" w:rsidRDefault="0082269B" w:rsidP="0082269B">
      <w:pPr>
        <w:spacing w:after="0"/>
        <w:jc w:val="both"/>
        <w:rPr>
          <w:rFonts w:cs="Calibri"/>
          <w:bCs/>
        </w:rPr>
      </w:pPr>
      <w:r w:rsidRPr="0082269B">
        <w:rPr>
          <w:rFonts w:cs="Calibri"/>
          <w:bCs/>
        </w:rPr>
        <w:t>_ odchyłka płaszczyzny deskowania fundamentu, ściany lub słupa od pionu na 1 m</w:t>
      </w:r>
      <w:r>
        <w:rPr>
          <w:rFonts w:cs="Calibri"/>
          <w:bCs/>
        </w:rPr>
        <w:t xml:space="preserve"> </w:t>
      </w:r>
      <w:r w:rsidRPr="0082269B">
        <w:rPr>
          <w:rFonts w:cs="Calibri"/>
          <w:bCs/>
        </w:rPr>
        <w:t>wysokości - 1,5 mm,</w:t>
      </w:r>
    </w:p>
    <w:p w14:paraId="1405A955" w14:textId="77777777" w:rsidR="0082269B" w:rsidRPr="0082269B" w:rsidRDefault="0082269B" w:rsidP="0082269B">
      <w:pPr>
        <w:spacing w:after="0"/>
        <w:jc w:val="both"/>
        <w:rPr>
          <w:rFonts w:cs="Calibri"/>
          <w:bCs/>
        </w:rPr>
      </w:pPr>
      <w:r w:rsidRPr="0082269B">
        <w:rPr>
          <w:rFonts w:cs="Calibri"/>
          <w:bCs/>
        </w:rPr>
        <w:t>_ odchyłka płaszczyzny deskowania od pionu na całej wysokości - 15,0 mm,</w:t>
      </w:r>
    </w:p>
    <w:p w14:paraId="383DD342" w14:textId="77777777" w:rsidR="0082269B" w:rsidRDefault="0082269B" w:rsidP="0082269B">
      <w:pPr>
        <w:spacing w:after="0"/>
        <w:jc w:val="both"/>
        <w:rPr>
          <w:rFonts w:cs="Calibri"/>
          <w:bCs/>
        </w:rPr>
      </w:pPr>
      <w:r w:rsidRPr="0082269B">
        <w:rPr>
          <w:rFonts w:cs="Calibri"/>
          <w:bCs/>
        </w:rPr>
        <w:t>_ odchyłka płaszczyzny deskowania ściany lub słupa na całej wysokości - 10,0 mm,</w:t>
      </w:r>
    </w:p>
    <w:p w14:paraId="36DE595A" w14:textId="77777777" w:rsidR="0082269B" w:rsidRPr="0082269B" w:rsidRDefault="0082269B" w:rsidP="0082269B">
      <w:pPr>
        <w:spacing w:after="0"/>
        <w:jc w:val="both"/>
        <w:rPr>
          <w:rFonts w:cs="Calibri"/>
          <w:bCs/>
        </w:rPr>
      </w:pPr>
      <w:r w:rsidRPr="0082269B">
        <w:rPr>
          <w:rFonts w:cs="Calibri"/>
          <w:bCs/>
        </w:rPr>
        <w:t>_ odchyłka od pionu bocznego deskowania żebra lub podciągu oraz krawędzi przecięcia tych</w:t>
      </w:r>
      <w:r>
        <w:rPr>
          <w:rFonts w:cs="Calibri"/>
          <w:bCs/>
        </w:rPr>
        <w:t xml:space="preserve"> </w:t>
      </w:r>
      <w:r w:rsidRPr="0082269B">
        <w:rPr>
          <w:rFonts w:cs="Calibri"/>
          <w:bCs/>
        </w:rPr>
        <w:t>belek - 2,5 mm,</w:t>
      </w:r>
    </w:p>
    <w:p w14:paraId="0B16AB63" w14:textId="77777777" w:rsidR="0082269B" w:rsidRPr="0082269B" w:rsidRDefault="0082269B" w:rsidP="0082269B">
      <w:pPr>
        <w:spacing w:after="0"/>
        <w:jc w:val="both"/>
        <w:rPr>
          <w:rFonts w:cs="Calibri"/>
          <w:bCs/>
        </w:rPr>
      </w:pPr>
      <w:r w:rsidRPr="0082269B">
        <w:rPr>
          <w:rFonts w:cs="Calibri"/>
          <w:bCs/>
        </w:rPr>
        <w:t>_ odchyłki od rozpiętości projektowych:</w:t>
      </w:r>
    </w:p>
    <w:p w14:paraId="7FB9B8B2" w14:textId="77777777" w:rsidR="0082269B" w:rsidRPr="0082269B" w:rsidRDefault="0082269B" w:rsidP="0082269B">
      <w:pPr>
        <w:spacing w:after="0"/>
        <w:jc w:val="both"/>
        <w:rPr>
          <w:rFonts w:cs="Calibri"/>
          <w:bCs/>
        </w:rPr>
      </w:pPr>
      <w:r w:rsidRPr="0082269B">
        <w:rPr>
          <w:rFonts w:cs="Calibri"/>
          <w:bCs/>
        </w:rPr>
        <w:t xml:space="preserve">_ belki lub płyty </w:t>
      </w:r>
      <w:proofErr w:type="spellStart"/>
      <w:r w:rsidRPr="0082269B">
        <w:rPr>
          <w:rFonts w:cs="Calibri"/>
          <w:bCs/>
        </w:rPr>
        <w:t>bezżebrowej</w:t>
      </w:r>
      <w:proofErr w:type="spellEnd"/>
      <w:r w:rsidRPr="0082269B">
        <w:rPr>
          <w:rFonts w:cs="Calibri"/>
          <w:bCs/>
        </w:rPr>
        <w:t xml:space="preserve"> ± 15 mm,</w:t>
      </w:r>
    </w:p>
    <w:p w14:paraId="12EF8CA9" w14:textId="77777777" w:rsidR="0082269B" w:rsidRPr="0082269B" w:rsidRDefault="0082269B" w:rsidP="0082269B">
      <w:pPr>
        <w:spacing w:after="0"/>
        <w:jc w:val="both"/>
        <w:rPr>
          <w:rFonts w:cs="Calibri"/>
          <w:bCs/>
        </w:rPr>
      </w:pPr>
      <w:r w:rsidRPr="0082269B">
        <w:rPr>
          <w:rFonts w:cs="Calibri"/>
          <w:bCs/>
        </w:rPr>
        <w:t xml:space="preserve">_ płyty w </w:t>
      </w:r>
      <w:proofErr w:type="spellStart"/>
      <w:r w:rsidRPr="0082269B">
        <w:rPr>
          <w:rFonts w:cs="Calibri"/>
          <w:bCs/>
        </w:rPr>
        <w:t>przekryciach</w:t>
      </w:r>
      <w:proofErr w:type="spellEnd"/>
      <w:r w:rsidRPr="0082269B">
        <w:rPr>
          <w:rFonts w:cs="Calibri"/>
          <w:bCs/>
        </w:rPr>
        <w:t xml:space="preserve"> żebrowych ± 10 mm.</w:t>
      </w:r>
    </w:p>
    <w:p w14:paraId="0AF3FCF3" w14:textId="3629E7AB" w:rsidR="0082269B" w:rsidRDefault="0082269B" w:rsidP="0082269B">
      <w:pPr>
        <w:spacing w:after="0"/>
        <w:jc w:val="both"/>
        <w:rPr>
          <w:rFonts w:cs="Calibri"/>
          <w:bCs/>
        </w:rPr>
      </w:pPr>
      <w:r w:rsidRPr="0082269B">
        <w:rPr>
          <w:rFonts w:cs="Calibri"/>
          <w:bCs/>
        </w:rPr>
        <w:t xml:space="preserve">Odchyłki osi ścian i słupów od projektowanego ich położenia powstałe przy montażu </w:t>
      </w:r>
      <w:proofErr w:type="spellStart"/>
      <w:r w:rsidRPr="0082269B">
        <w:rPr>
          <w:rFonts w:cs="Calibri"/>
          <w:bCs/>
        </w:rPr>
        <w:t>deskowań</w:t>
      </w:r>
      <w:proofErr w:type="spellEnd"/>
      <w:r>
        <w:rPr>
          <w:rFonts w:cs="Calibri"/>
          <w:bCs/>
        </w:rPr>
        <w:t xml:space="preserve"> </w:t>
      </w:r>
      <w:r w:rsidRPr="0082269B">
        <w:rPr>
          <w:rFonts w:cs="Calibri"/>
          <w:bCs/>
        </w:rPr>
        <w:t>dolnych kondygnacji należy usunąć na wyższych kondygnacjach.</w:t>
      </w:r>
    </w:p>
    <w:p w14:paraId="7BE0F690" w14:textId="77777777" w:rsidR="00EC066A" w:rsidRPr="00EC066A" w:rsidRDefault="00EC066A" w:rsidP="00EC066A">
      <w:pPr>
        <w:spacing w:after="0"/>
        <w:jc w:val="both"/>
        <w:rPr>
          <w:b/>
          <w:bCs/>
        </w:rPr>
      </w:pPr>
      <w:r w:rsidRPr="00EC066A">
        <w:rPr>
          <w:b/>
          <w:bCs/>
        </w:rPr>
        <w:t xml:space="preserve">Dopuszczalne odchyłki położenia pala: </w:t>
      </w:r>
    </w:p>
    <w:p w14:paraId="005FFA8A" w14:textId="77777777" w:rsidR="00EC066A" w:rsidRDefault="00EC066A" w:rsidP="00EC066A">
      <w:pPr>
        <w:spacing w:after="0"/>
        <w:jc w:val="both"/>
      </w:pPr>
      <w:r>
        <w:t xml:space="preserve">- usytuowanie w planie: 0,1 D ( D - średnica pala) </w:t>
      </w:r>
    </w:p>
    <w:p w14:paraId="7D1B2153" w14:textId="77777777" w:rsidR="00EC066A" w:rsidRDefault="00EC066A" w:rsidP="00EC066A">
      <w:pPr>
        <w:spacing w:after="0"/>
        <w:jc w:val="both"/>
      </w:pPr>
      <w:r>
        <w:t>- odchylenie pala od pionu: 1: 50</w:t>
      </w:r>
    </w:p>
    <w:p w14:paraId="14DA58E7" w14:textId="77777777" w:rsidR="00EC066A" w:rsidRPr="00EC066A" w:rsidRDefault="00EC066A" w:rsidP="00EC066A">
      <w:pPr>
        <w:spacing w:after="0"/>
        <w:jc w:val="both"/>
        <w:rPr>
          <w:b/>
          <w:bCs/>
        </w:rPr>
      </w:pPr>
      <w:r w:rsidRPr="00EC066A">
        <w:rPr>
          <w:b/>
          <w:bCs/>
        </w:rPr>
        <w:t>Dopuszczalne odchyłki wymiarów pala:</w:t>
      </w:r>
    </w:p>
    <w:p w14:paraId="17915F6D" w14:textId="77777777" w:rsidR="00EC066A" w:rsidRDefault="00EC066A" w:rsidP="00EC066A">
      <w:pPr>
        <w:spacing w:after="0"/>
        <w:jc w:val="both"/>
      </w:pPr>
      <w:r>
        <w:t xml:space="preserve">- rzędna podstawy pala: -10,0 cm; +10,0 cm </w:t>
      </w:r>
    </w:p>
    <w:p w14:paraId="3F069358" w14:textId="77777777" w:rsidR="00EC066A" w:rsidRDefault="00EC066A" w:rsidP="00EC066A">
      <w:pPr>
        <w:spacing w:after="0"/>
        <w:jc w:val="both"/>
      </w:pPr>
      <w:r>
        <w:t xml:space="preserve">- średnica pala: -2,0 cm; + bez ograniczenia </w:t>
      </w:r>
    </w:p>
    <w:p w14:paraId="7A4F5A07" w14:textId="77777777" w:rsidR="00EC066A" w:rsidRDefault="00EC066A" w:rsidP="00EC066A">
      <w:pPr>
        <w:spacing w:after="0"/>
        <w:jc w:val="both"/>
        <w:rPr>
          <w:rFonts w:cs="Calibri"/>
          <w:bCs/>
        </w:rPr>
      </w:pPr>
      <w:r>
        <w:t>- rzędna głowicy pala: -10,0 cm; +5,0 cm</w:t>
      </w:r>
    </w:p>
    <w:p w14:paraId="4D3BA9AD" w14:textId="77777777" w:rsidR="0082269B" w:rsidRPr="006B037E" w:rsidRDefault="0082269B" w:rsidP="006B037E">
      <w:pPr>
        <w:spacing w:after="0"/>
        <w:jc w:val="both"/>
        <w:rPr>
          <w:rFonts w:cs="Calibri"/>
          <w:bCs/>
        </w:rPr>
      </w:pPr>
    </w:p>
    <w:p w14:paraId="04E942EB"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 xml:space="preserve"> Obmiar robót.</w:t>
      </w:r>
    </w:p>
    <w:p w14:paraId="03B8E886" w14:textId="77777777" w:rsidR="006B037E" w:rsidRPr="006B037E" w:rsidRDefault="006B037E" w:rsidP="006B037E">
      <w:pPr>
        <w:spacing w:after="0"/>
        <w:jc w:val="both"/>
        <w:rPr>
          <w:rFonts w:cs="Calibri"/>
          <w:bCs/>
        </w:rPr>
      </w:pPr>
      <w:r w:rsidRPr="006B037E">
        <w:rPr>
          <w:rFonts w:cs="Calibri"/>
          <w:bCs/>
        </w:rPr>
        <w:t>Jednostką obmiarową jest 1 tona.</w:t>
      </w:r>
    </w:p>
    <w:p w14:paraId="67BD042A" w14:textId="77777777" w:rsidR="006B037E" w:rsidRDefault="006B037E" w:rsidP="006B037E">
      <w:pPr>
        <w:spacing w:after="0"/>
        <w:jc w:val="both"/>
        <w:rPr>
          <w:rFonts w:cs="Calibri"/>
          <w:bCs/>
        </w:rPr>
      </w:pPr>
      <w:r w:rsidRPr="006B037E">
        <w:rPr>
          <w:rFonts w:cs="Calibri"/>
          <w:bCs/>
        </w:rPr>
        <w:t>Do obliczania należności przyjmuje się teoretyczną ilość (t) zmontowanego zbrojenia, tj. łączną długość prętów poszczególnych średnic pomnożoną przez ich ciężar jednostkowy t/</w:t>
      </w:r>
      <w:proofErr w:type="spellStart"/>
      <w:r w:rsidRPr="006B037E">
        <w:rPr>
          <w:rFonts w:cs="Calibri"/>
          <w:bCs/>
        </w:rPr>
        <w:t>mb</w:t>
      </w:r>
      <w:proofErr w:type="spellEnd"/>
      <w:r w:rsidRPr="006B037E">
        <w:rPr>
          <w:rFonts w:cs="Calibri"/>
          <w:bCs/>
        </w:rPr>
        <w:t xml:space="preserve">. Nie dolicza się stali użytej na zakłady przy łączeniu prętów, przekładek montażowych ani drutu </w:t>
      </w:r>
      <w:proofErr w:type="spellStart"/>
      <w:r w:rsidRPr="006B037E">
        <w:rPr>
          <w:rFonts w:cs="Calibri"/>
          <w:bCs/>
        </w:rPr>
        <w:t>wiązałkowego</w:t>
      </w:r>
      <w:proofErr w:type="spellEnd"/>
      <w:r w:rsidRPr="006B037E">
        <w:rPr>
          <w:rFonts w:cs="Calibri"/>
          <w:bCs/>
        </w:rPr>
        <w:t>. Nie uwzględnia się też zwiększonej ilości materiału w wyniku stosowania przez Wykonaw</w:t>
      </w:r>
      <w:r w:rsidRPr="006B037E">
        <w:rPr>
          <w:rFonts w:cs="Calibri"/>
          <w:bCs/>
        </w:rPr>
        <w:softHyphen/>
        <w:t>cę prętów o średnicach większych od wymaganych w projekcie.</w:t>
      </w:r>
    </w:p>
    <w:p w14:paraId="5955B4E5" w14:textId="77777777" w:rsidR="006B037E" w:rsidRPr="006B037E" w:rsidRDefault="006B037E" w:rsidP="006B037E">
      <w:pPr>
        <w:spacing w:after="0"/>
        <w:jc w:val="both"/>
        <w:rPr>
          <w:rFonts w:cs="Calibri"/>
          <w:bCs/>
        </w:rPr>
      </w:pPr>
      <w:r w:rsidRPr="006B037E">
        <w:rPr>
          <w:rFonts w:cs="Calibri"/>
          <w:bCs/>
        </w:rPr>
        <w:t xml:space="preserve">Jednostkami obmiaru </w:t>
      </w:r>
      <w:r>
        <w:rPr>
          <w:rFonts w:cs="Calibri"/>
          <w:bCs/>
        </w:rPr>
        <w:t xml:space="preserve">robót betonowych </w:t>
      </w:r>
      <w:r w:rsidRPr="006B037E">
        <w:rPr>
          <w:rFonts w:cs="Calibri"/>
          <w:bCs/>
        </w:rPr>
        <w:t>są:</w:t>
      </w:r>
    </w:p>
    <w:p w14:paraId="480995C6" w14:textId="77777777" w:rsidR="006B037E" w:rsidRPr="006B037E" w:rsidRDefault="006B037E" w:rsidP="00EB7764">
      <w:pPr>
        <w:pStyle w:val="Akapitzlist"/>
        <w:numPr>
          <w:ilvl w:val="0"/>
          <w:numId w:val="4"/>
        </w:numPr>
        <w:spacing w:after="0"/>
        <w:jc w:val="both"/>
        <w:rPr>
          <w:rFonts w:cs="Calibri"/>
          <w:bCs/>
        </w:rPr>
      </w:pPr>
      <w:r w:rsidRPr="006B037E">
        <w:rPr>
          <w:rFonts w:cs="Calibri"/>
          <w:bCs/>
        </w:rPr>
        <w:t>1 m</w:t>
      </w:r>
      <w:r w:rsidRPr="006B037E">
        <w:rPr>
          <w:rFonts w:cs="Calibri"/>
          <w:bCs/>
          <w:vertAlign w:val="superscript"/>
        </w:rPr>
        <w:t>3</w:t>
      </w:r>
      <w:r w:rsidRPr="006B037E">
        <w:rPr>
          <w:rFonts w:cs="Calibri"/>
          <w:bCs/>
        </w:rPr>
        <w:t xml:space="preserve"> wykonanej konstrukcji.</w:t>
      </w:r>
    </w:p>
    <w:p w14:paraId="32C3ABF1" w14:textId="0DDFA9BF" w:rsidR="006B037E" w:rsidRPr="00EC066A" w:rsidRDefault="006B037E" w:rsidP="00EB7764">
      <w:pPr>
        <w:pStyle w:val="Akapitzlist"/>
        <w:numPr>
          <w:ilvl w:val="0"/>
          <w:numId w:val="4"/>
        </w:numPr>
        <w:spacing w:after="0"/>
        <w:jc w:val="both"/>
        <w:rPr>
          <w:rFonts w:cs="Calibri"/>
          <w:bCs/>
          <w:u w:val="single"/>
        </w:rPr>
      </w:pPr>
      <w:r w:rsidRPr="006B037E">
        <w:rPr>
          <w:rFonts w:cs="Calibri"/>
          <w:bCs/>
        </w:rPr>
        <w:t>1 m</w:t>
      </w:r>
      <w:r w:rsidRPr="006B037E">
        <w:rPr>
          <w:rFonts w:cs="Calibri"/>
          <w:bCs/>
          <w:vertAlign w:val="superscript"/>
        </w:rPr>
        <w:t>3</w:t>
      </w:r>
      <w:r w:rsidRPr="006B037E">
        <w:rPr>
          <w:rFonts w:cs="Calibri"/>
          <w:bCs/>
        </w:rPr>
        <w:t xml:space="preserve"> wykonanego </w:t>
      </w:r>
      <w:proofErr w:type="spellStart"/>
      <w:r w:rsidRPr="006B037E">
        <w:rPr>
          <w:rFonts w:cs="Calibri"/>
          <w:bCs/>
        </w:rPr>
        <w:t>podbetonu</w:t>
      </w:r>
      <w:proofErr w:type="spellEnd"/>
    </w:p>
    <w:p w14:paraId="587FC44D" w14:textId="5F6BD72A" w:rsidR="00EC066A" w:rsidRPr="00EC066A" w:rsidRDefault="00EC066A" w:rsidP="00EB7764">
      <w:pPr>
        <w:pStyle w:val="Akapitzlist"/>
        <w:numPr>
          <w:ilvl w:val="0"/>
          <w:numId w:val="4"/>
        </w:numPr>
        <w:spacing w:after="0"/>
        <w:jc w:val="both"/>
        <w:rPr>
          <w:rFonts w:cs="Calibri"/>
          <w:bCs/>
          <w:u w:val="single"/>
        </w:rPr>
      </w:pPr>
      <w:r>
        <w:rPr>
          <w:rFonts w:cs="Calibri"/>
          <w:bCs/>
        </w:rPr>
        <w:t xml:space="preserve">1 </w:t>
      </w:r>
      <w:proofErr w:type="spellStart"/>
      <w:r>
        <w:rPr>
          <w:rFonts w:cs="Calibri"/>
          <w:bCs/>
        </w:rPr>
        <w:t>mb</w:t>
      </w:r>
      <w:proofErr w:type="spellEnd"/>
      <w:r>
        <w:rPr>
          <w:rFonts w:cs="Calibri"/>
          <w:bCs/>
        </w:rPr>
        <w:t xml:space="preserve"> wykonanego pala</w:t>
      </w:r>
    </w:p>
    <w:p w14:paraId="472A4737" w14:textId="1643A238" w:rsidR="00EC066A" w:rsidRPr="00EC066A" w:rsidRDefault="00EC066A" w:rsidP="00EB7764">
      <w:pPr>
        <w:pStyle w:val="Akapitzlist"/>
        <w:numPr>
          <w:ilvl w:val="0"/>
          <w:numId w:val="4"/>
        </w:numPr>
        <w:spacing w:after="0"/>
        <w:jc w:val="both"/>
        <w:rPr>
          <w:rFonts w:cs="Calibri"/>
          <w:bCs/>
          <w:u w:val="single"/>
        </w:rPr>
      </w:pPr>
      <w:r>
        <w:rPr>
          <w:rFonts w:cs="Calibri"/>
          <w:bCs/>
        </w:rPr>
        <w:t>1 t wykonanego zbrojenia</w:t>
      </w:r>
    </w:p>
    <w:p w14:paraId="3BB2F531" w14:textId="7E5DE1CE" w:rsidR="00EC066A" w:rsidRPr="006B037E" w:rsidRDefault="00EC066A" w:rsidP="00EB7764">
      <w:pPr>
        <w:pStyle w:val="Akapitzlist"/>
        <w:numPr>
          <w:ilvl w:val="0"/>
          <w:numId w:val="4"/>
        </w:numPr>
        <w:spacing w:after="0"/>
        <w:jc w:val="both"/>
        <w:rPr>
          <w:rFonts w:cs="Calibri"/>
          <w:bCs/>
          <w:u w:val="single"/>
        </w:rPr>
      </w:pPr>
      <w:r>
        <w:rPr>
          <w:rFonts w:cs="Calibri"/>
          <w:bCs/>
        </w:rPr>
        <w:t>1 m</w:t>
      </w:r>
      <w:r w:rsidRPr="00EC066A">
        <w:rPr>
          <w:rFonts w:cs="Calibri"/>
          <w:bCs/>
          <w:vertAlign w:val="superscript"/>
        </w:rPr>
        <w:t>2</w:t>
      </w:r>
      <w:r>
        <w:rPr>
          <w:rFonts w:cs="Calibri"/>
          <w:bCs/>
        </w:rPr>
        <w:t xml:space="preserve"> wykonanego stropu</w:t>
      </w:r>
    </w:p>
    <w:p w14:paraId="17A7FC51" w14:textId="77777777" w:rsidR="006B037E" w:rsidRDefault="006B037E" w:rsidP="006B037E">
      <w:pPr>
        <w:spacing w:after="0"/>
        <w:jc w:val="both"/>
        <w:rPr>
          <w:rFonts w:cs="Calibri"/>
          <w:bCs/>
        </w:rPr>
      </w:pPr>
      <w:r w:rsidRPr="006B037E">
        <w:rPr>
          <w:rFonts w:cs="Calibri"/>
          <w:bCs/>
        </w:rPr>
        <w:t>Wszystkie roboty objęte specyfikacją dotyczącą betonowania podlega</w:t>
      </w:r>
      <w:r>
        <w:rPr>
          <w:rFonts w:cs="Calibri"/>
          <w:bCs/>
        </w:rPr>
        <w:t>ją zasadom odbioru robót zanika</w:t>
      </w:r>
      <w:r w:rsidRPr="006B037E">
        <w:rPr>
          <w:rFonts w:cs="Calibri"/>
          <w:bCs/>
        </w:rPr>
        <w:t>jących</w:t>
      </w:r>
      <w:r>
        <w:rPr>
          <w:rFonts w:cs="Calibri"/>
          <w:bCs/>
        </w:rPr>
        <w:t>.</w:t>
      </w:r>
    </w:p>
    <w:p w14:paraId="22877902" w14:textId="77777777" w:rsidR="006B037E" w:rsidRPr="006B037E" w:rsidRDefault="006B037E" w:rsidP="006B037E">
      <w:pPr>
        <w:spacing w:after="0"/>
        <w:jc w:val="both"/>
        <w:rPr>
          <w:rFonts w:cs="Calibri"/>
          <w:bCs/>
        </w:rPr>
      </w:pPr>
    </w:p>
    <w:p w14:paraId="423A0370" w14:textId="77777777" w:rsidR="006B037E" w:rsidRPr="006B037E" w:rsidRDefault="006B037E" w:rsidP="00DC5CA3">
      <w:pPr>
        <w:pStyle w:val="Akapitzlist"/>
        <w:numPr>
          <w:ilvl w:val="0"/>
          <w:numId w:val="1"/>
        </w:numPr>
        <w:spacing w:after="0"/>
        <w:jc w:val="both"/>
        <w:rPr>
          <w:rFonts w:cs="Calibri"/>
          <w:b/>
          <w:bCs/>
          <w:caps/>
        </w:rPr>
      </w:pPr>
      <w:r w:rsidRPr="006B037E">
        <w:rPr>
          <w:rFonts w:cs="Calibri"/>
          <w:b/>
          <w:bCs/>
          <w:caps/>
        </w:rPr>
        <w:t>Odbiór robót.</w:t>
      </w:r>
    </w:p>
    <w:p w14:paraId="46A2C4FE" w14:textId="77777777" w:rsidR="006B037E" w:rsidRPr="006B037E" w:rsidRDefault="006B037E" w:rsidP="006B037E">
      <w:pPr>
        <w:spacing w:after="0"/>
        <w:jc w:val="both"/>
        <w:rPr>
          <w:rFonts w:cs="Calibri"/>
          <w:bCs/>
        </w:rPr>
      </w:pPr>
      <w:r w:rsidRPr="006B037E">
        <w:rPr>
          <w:rFonts w:cs="Calibri"/>
          <w:bCs/>
        </w:rPr>
        <w:t xml:space="preserve">Wszystkie roboty dotyczące robót zbrojarskich </w:t>
      </w:r>
      <w:r w:rsidR="00E617E5">
        <w:rPr>
          <w:rFonts w:cs="Calibri"/>
          <w:bCs/>
        </w:rPr>
        <w:t xml:space="preserve">i betoniarskich </w:t>
      </w:r>
      <w:r w:rsidRPr="006B037E">
        <w:rPr>
          <w:rFonts w:cs="Calibri"/>
          <w:bCs/>
        </w:rPr>
        <w:t>podlegają zasadom odbioru robót zanikających i ulegających zakryciu oraz odbioru końcowego - wg opisu jak niżej:</w:t>
      </w:r>
    </w:p>
    <w:p w14:paraId="6D6C0DED" w14:textId="77777777" w:rsidR="006B037E" w:rsidRPr="00E617E5" w:rsidRDefault="006B037E" w:rsidP="00E617E5">
      <w:pPr>
        <w:spacing w:after="0"/>
        <w:jc w:val="both"/>
        <w:rPr>
          <w:rFonts w:cs="Calibri"/>
          <w:bCs/>
        </w:rPr>
      </w:pPr>
      <w:r w:rsidRPr="00E617E5">
        <w:rPr>
          <w:rFonts w:cs="Calibri"/>
          <w:bCs/>
        </w:rPr>
        <w:t>Odbiór robót zanikających i ulegających zakryciu – wg. Ogólnej Specyfikacji Technicznej.</w:t>
      </w:r>
    </w:p>
    <w:p w14:paraId="655F2C24" w14:textId="77777777" w:rsidR="006B037E" w:rsidRPr="006B037E" w:rsidRDefault="006B037E" w:rsidP="006B037E">
      <w:pPr>
        <w:spacing w:after="0"/>
        <w:jc w:val="both"/>
        <w:rPr>
          <w:rFonts w:cs="Calibri"/>
          <w:bCs/>
        </w:rPr>
      </w:pPr>
      <w:r w:rsidRPr="006B037E">
        <w:rPr>
          <w:rFonts w:cs="Calibri"/>
          <w:bCs/>
        </w:rPr>
        <w:t>Odbiór zbrojenia przed przystąpieniem do betonowania powinien być dokonany przez Inżyniera oraz wpisany do dziennika budowy.</w:t>
      </w:r>
    </w:p>
    <w:p w14:paraId="0F2D426A" w14:textId="77777777" w:rsidR="006B037E" w:rsidRPr="006B037E" w:rsidRDefault="006B037E" w:rsidP="006B037E">
      <w:pPr>
        <w:spacing w:after="0"/>
        <w:jc w:val="both"/>
        <w:rPr>
          <w:rFonts w:cs="Calibri"/>
          <w:bCs/>
        </w:rPr>
      </w:pPr>
      <w:r w:rsidRPr="006B037E">
        <w:rPr>
          <w:rFonts w:cs="Calibri"/>
          <w:bCs/>
        </w:rPr>
        <w:lastRenderedPageBreak/>
        <w:t>Odbiór powinien polegać na sprawdzeniu zgodności zbrojenia z rysunkami roboczymi konstrukcji żelbetowej i postanowieniami niniejszej specyfikacji, zgodności z rysunkami liczby prętów w poszczególnych przekrojach, rozstawu strzemion, wykonania haków złącz i długości zakotwień prętów oraz możliwości dobrego otulenia prętów betonem.</w:t>
      </w:r>
    </w:p>
    <w:p w14:paraId="56598E1C" w14:textId="77777777" w:rsidR="006B037E" w:rsidRDefault="00E617E5" w:rsidP="006B037E">
      <w:pPr>
        <w:spacing w:after="0"/>
        <w:jc w:val="both"/>
        <w:rPr>
          <w:rFonts w:cs="Calibri"/>
          <w:bCs/>
        </w:rPr>
      </w:pPr>
      <w:r>
        <w:rPr>
          <w:rFonts w:cs="Calibri"/>
          <w:bCs/>
        </w:rPr>
        <w:t>Odbiór robót betonowych polega na sprawdzeniu zgodności wykonanej konstrukcji z projektem.</w:t>
      </w:r>
    </w:p>
    <w:p w14:paraId="44ADAB74" w14:textId="77777777" w:rsidR="006B037E" w:rsidRDefault="006B037E" w:rsidP="006B037E">
      <w:pPr>
        <w:spacing w:after="0"/>
        <w:jc w:val="both"/>
        <w:rPr>
          <w:rFonts w:cs="Calibri"/>
          <w:bCs/>
        </w:rPr>
      </w:pPr>
    </w:p>
    <w:p w14:paraId="55974E77" w14:textId="77777777" w:rsidR="00307154" w:rsidRPr="005E7EE0" w:rsidRDefault="00307154" w:rsidP="00DC5CA3">
      <w:pPr>
        <w:pStyle w:val="Akapitzlist"/>
        <w:numPr>
          <w:ilvl w:val="0"/>
          <w:numId w:val="1"/>
        </w:numPr>
        <w:spacing w:after="0"/>
        <w:jc w:val="both"/>
        <w:rPr>
          <w:rFonts w:cs="Calibri"/>
          <w:b/>
          <w:bCs/>
          <w:caps/>
        </w:rPr>
      </w:pPr>
      <w:r w:rsidRPr="005E7EE0">
        <w:rPr>
          <w:rFonts w:cs="Calibri"/>
          <w:b/>
          <w:bCs/>
          <w:caps/>
        </w:rPr>
        <w:t>Dokumenty odniesienia</w:t>
      </w:r>
    </w:p>
    <w:p w14:paraId="28AA1674" w14:textId="77777777" w:rsidR="00307154" w:rsidRPr="005E7EE0" w:rsidRDefault="00307154" w:rsidP="006B037E">
      <w:pPr>
        <w:spacing w:after="0"/>
        <w:jc w:val="both"/>
        <w:rPr>
          <w:rFonts w:cs="Calibri"/>
          <w:bCs/>
        </w:rPr>
      </w:pPr>
      <w:r w:rsidRPr="005E7EE0">
        <w:rPr>
          <w:rFonts w:cs="Calibri"/>
          <w:bCs/>
        </w:rPr>
        <w:t>Dokumentacją odniesienia jest:</w:t>
      </w:r>
    </w:p>
    <w:p w14:paraId="202C3736" w14:textId="77777777" w:rsidR="00307154" w:rsidRPr="005E7EE0" w:rsidRDefault="00307154" w:rsidP="00EB7764">
      <w:pPr>
        <w:numPr>
          <w:ilvl w:val="0"/>
          <w:numId w:val="2"/>
        </w:numPr>
        <w:spacing w:after="0"/>
        <w:jc w:val="both"/>
        <w:rPr>
          <w:rFonts w:cs="Calibri"/>
          <w:bCs/>
        </w:rPr>
      </w:pPr>
      <w:r w:rsidRPr="005E7EE0">
        <w:rPr>
          <w:rFonts w:cs="Calibri"/>
          <w:bCs/>
        </w:rPr>
        <w:t>Specyfikacja Istotnych Warunków Zamówienia dla przedmiotowego zadania,</w:t>
      </w:r>
    </w:p>
    <w:p w14:paraId="5B4EC8A4" w14:textId="77777777" w:rsidR="00307154" w:rsidRPr="005E7EE0" w:rsidRDefault="00307154" w:rsidP="00EB7764">
      <w:pPr>
        <w:numPr>
          <w:ilvl w:val="0"/>
          <w:numId w:val="2"/>
        </w:numPr>
        <w:spacing w:after="0"/>
        <w:jc w:val="both"/>
        <w:rPr>
          <w:rFonts w:cs="Calibri"/>
          <w:bCs/>
        </w:rPr>
      </w:pPr>
      <w:r w:rsidRPr="005E7EE0">
        <w:rPr>
          <w:rFonts w:cs="Calibri"/>
          <w:bCs/>
        </w:rPr>
        <w:t>umowa zawarta pomiędzy Wykonawca a Zamawiającym wraz z harmonogramem robót</w:t>
      </w:r>
    </w:p>
    <w:p w14:paraId="787413FE" w14:textId="77777777" w:rsidR="00307154" w:rsidRPr="005E7EE0" w:rsidRDefault="00307154" w:rsidP="00EB7764">
      <w:pPr>
        <w:numPr>
          <w:ilvl w:val="0"/>
          <w:numId w:val="2"/>
        </w:numPr>
        <w:spacing w:after="0"/>
        <w:jc w:val="both"/>
        <w:rPr>
          <w:rFonts w:cs="Calibri"/>
          <w:bCs/>
        </w:rPr>
      </w:pPr>
      <w:r w:rsidRPr="005E7EE0">
        <w:rPr>
          <w:rFonts w:cs="Calibri"/>
          <w:bCs/>
        </w:rPr>
        <w:t>zatwierdzona przez Zamawiającego dokumentacja wykonawcza ww. zadania</w:t>
      </w:r>
    </w:p>
    <w:p w14:paraId="182FDE01" w14:textId="77777777" w:rsidR="00307154" w:rsidRPr="005E7EE0" w:rsidRDefault="00307154" w:rsidP="00EB7764">
      <w:pPr>
        <w:numPr>
          <w:ilvl w:val="0"/>
          <w:numId w:val="2"/>
        </w:numPr>
        <w:spacing w:after="0"/>
        <w:jc w:val="both"/>
        <w:rPr>
          <w:rFonts w:cs="Calibri"/>
          <w:bCs/>
        </w:rPr>
      </w:pPr>
      <w:r w:rsidRPr="005E7EE0">
        <w:rPr>
          <w:rFonts w:cs="Calibri"/>
          <w:bCs/>
        </w:rPr>
        <w:t>normy</w:t>
      </w:r>
    </w:p>
    <w:p w14:paraId="7F648109" w14:textId="77777777" w:rsidR="00307154" w:rsidRPr="005E7EE0" w:rsidRDefault="00307154" w:rsidP="00EB7764">
      <w:pPr>
        <w:numPr>
          <w:ilvl w:val="0"/>
          <w:numId w:val="2"/>
        </w:numPr>
        <w:spacing w:after="0"/>
        <w:jc w:val="both"/>
        <w:rPr>
          <w:rFonts w:cs="Calibri"/>
          <w:bCs/>
        </w:rPr>
      </w:pPr>
      <w:r w:rsidRPr="005E7EE0">
        <w:rPr>
          <w:rFonts w:cs="Calibri"/>
          <w:bCs/>
        </w:rPr>
        <w:t>aprobaty techniczne</w:t>
      </w:r>
    </w:p>
    <w:p w14:paraId="4DB72AB5" w14:textId="77777777" w:rsidR="00307154" w:rsidRPr="005E7EE0" w:rsidRDefault="00307154" w:rsidP="00EB7764">
      <w:pPr>
        <w:numPr>
          <w:ilvl w:val="0"/>
          <w:numId w:val="2"/>
        </w:numPr>
        <w:spacing w:after="0"/>
        <w:jc w:val="both"/>
        <w:rPr>
          <w:rFonts w:cs="Calibri"/>
          <w:bCs/>
        </w:rPr>
      </w:pPr>
      <w:r w:rsidRPr="005E7EE0">
        <w:rPr>
          <w:rFonts w:cs="Calibri"/>
          <w:bCs/>
        </w:rPr>
        <w:t>inne dokumenty i ustalenia techniczne prowadzone w trakcie trwania inwestycji.</w:t>
      </w:r>
    </w:p>
    <w:p w14:paraId="06EE4616" w14:textId="77777777" w:rsidR="00AC274D" w:rsidRPr="005E7EE0" w:rsidRDefault="00AC274D" w:rsidP="00AC274D">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639" w:type="dxa"/>
        <w:tblInd w:w="70" w:type="dxa"/>
        <w:tblCellMar>
          <w:left w:w="70" w:type="dxa"/>
          <w:right w:w="70" w:type="dxa"/>
        </w:tblCellMar>
        <w:tblLook w:val="04A0" w:firstRow="1" w:lastRow="0" w:firstColumn="1" w:lastColumn="0" w:noHBand="0" w:noVBand="1"/>
      </w:tblPr>
      <w:tblGrid>
        <w:gridCol w:w="2127"/>
        <w:gridCol w:w="7512"/>
      </w:tblGrid>
      <w:tr w:rsidR="00282AE9" w:rsidRPr="00282AE9" w14:paraId="2ECCE050" w14:textId="77777777" w:rsidTr="00282AE9">
        <w:trPr>
          <w:trHeight w:val="300"/>
        </w:trPr>
        <w:tc>
          <w:tcPr>
            <w:tcW w:w="2127" w:type="dxa"/>
            <w:tcBorders>
              <w:top w:val="nil"/>
              <w:left w:val="nil"/>
              <w:bottom w:val="nil"/>
              <w:right w:val="nil"/>
            </w:tcBorders>
            <w:noWrap/>
            <w:vAlign w:val="center"/>
            <w:hideMark/>
          </w:tcPr>
          <w:p w14:paraId="4C2AED8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15804+A2:2020-03</w:t>
            </w:r>
          </w:p>
        </w:tc>
        <w:tc>
          <w:tcPr>
            <w:tcW w:w="7512" w:type="dxa"/>
            <w:tcBorders>
              <w:top w:val="nil"/>
              <w:left w:val="nil"/>
              <w:bottom w:val="nil"/>
              <w:right w:val="nil"/>
            </w:tcBorders>
            <w:vAlign w:val="center"/>
            <w:hideMark/>
          </w:tcPr>
          <w:p w14:paraId="25E7203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Zrównoważenie obiektów budowlanych - Deklaracje środowiskowe wyrobu - Podstawowe zasady kategoryzacji wyrobów budowlanych</w:t>
            </w:r>
          </w:p>
        </w:tc>
      </w:tr>
      <w:tr w:rsidR="00282AE9" w:rsidRPr="00282AE9" w14:paraId="3C6D950D" w14:textId="77777777" w:rsidTr="00282AE9">
        <w:trPr>
          <w:trHeight w:val="300"/>
        </w:trPr>
        <w:tc>
          <w:tcPr>
            <w:tcW w:w="2127" w:type="dxa"/>
            <w:tcBorders>
              <w:top w:val="nil"/>
              <w:left w:val="nil"/>
              <w:bottom w:val="nil"/>
              <w:right w:val="nil"/>
            </w:tcBorders>
            <w:noWrap/>
            <w:vAlign w:val="center"/>
            <w:hideMark/>
          </w:tcPr>
          <w:p w14:paraId="04C6253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PN-B-19707:2013-10</w:t>
            </w:r>
          </w:p>
        </w:tc>
        <w:tc>
          <w:tcPr>
            <w:tcW w:w="7512" w:type="dxa"/>
            <w:tcBorders>
              <w:top w:val="nil"/>
              <w:left w:val="nil"/>
              <w:bottom w:val="nil"/>
              <w:right w:val="nil"/>
            </w:tcBorders>
            <w:vAlign w:val="center"/>
            <w:hideMark/>
          </w:tcPr>
          <w:p w14:paraId="408EAC1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 Cement specjalny - Skład, wymagania i kryteria zgodności</w:t>
            </w:r>
          </w:p>
        </w:tc>
      </w:tr>
      <w:tr w:rsidR="00282AE9" w:rsidRPr="00282AE9" w14:paraId="12EABEF1" w14:textId="77777777" w:rsidTr="00282AE9">
        <w:trPr>
          <w:trHeight w:val="300"/>
        </w:trPr>
        <w:tc>
          <w:tcPr>
            <w:tcW w:w="2127" w:type="dxa"/>
            <w:tcBorders>
              <w:top w:val="nil"/>
              <w:left w:val="nil"/>
              <w:bottom w:val="nil"/>
              <w:right w:val="nil"/>
            </w:tcBorders>
            <w:noWrap/>
            <w:vAlign w:val="center"/>
            <w:hideMark/>
          </w:tcPr>
          <w:p w14:paraId="52FBD64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1170-1:1999</w:t>
            </w:r>
          </w:p>
        </w:tc>
        <w:tc>
          <w:tcPr>
            <w:tcW w:w="7512" w:type="dxa"/>
            <w:tcBorders>
              <w:top w:val="nil"/>
              <w:left w:val="nil"/>
              <w:bottom w:val="nil"/>
              <w:right w:val="nil"/>
            </w:tcBorders>
            <w:vAlign w:val="center"/>
            <w:hideMark/>
          </w:tcPr>
          <w:p w14:paraId="2257873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konsystencji świeżej matrycy cementowej metodą rozpływu</w:t>
            </w:r>
          </w:p>
        </w:tc>
      </w:tr>
      <w:tr w:rsidR="00282AE9" w:rsidRPr="00282AE9" w14:paraId="46B15B6A" w14:textId="77777777" w:rsidTr="00282AE9">
        <w:trPr>
          <w:trHeight w:val="300"/>
        </w:trPr>
        <w:tc>
          <w:tcPr>
            <w:tcW w:w="2127" w:type="dxa"/>
            <w:tcBorders>
              <w:top w:val="nil"/>
              <w:left w:val="nil"/>
              <w:bottom w:val="nil"/>
              <w:right w:val="nil"/>
            </w:tcBorders>
            <w:noWrap/>
            <w:vAlign w:val="center"/>
            <w:hideMark/>
          </w:tcPr>
          <w:p w14:paraId="52ABF05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14216:2015-09</w:t>
            </w:r>
          </w:p>
        </w:tc>
        <w:tc>
          <w:tcPr>
            <w:tcW w:w="7512" w:type="dxa"/>
            <w:tcBorders>
              <w:top w:val="nil"/>
              <w:left w:val="nil"/>
              <w:bottom w:val="nil"/>
              <w:right w:val="nil"/>
            </w:tcBorders>
            <w:vAlign w:val="center"/>
            <w:hideMark/>
          </w:tcPr>
          <w:p w14:paraId="29308D8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 Skład, wymagania i kryteria zgodności dotyczące cementów specjalnych o bardzo niskim cieple hydratacji</w:t>
            </w:r>
          </w:p>
        </w:tc>
      </w:tr>
      <w:tr w:rsidR="00282AE9" w:rsidRPr="00282AE9" w14:paraId="1D2180DD" w14:textId="77777777" w:rsidTr="00282AE9">
        <w:trPr>
          <w:trHeight w:val="300"/>
        </w:trPr>
        <w:tc>
          <w:tcPr>
            <w:tcW w:w="2127" w:type="dxa"/>
            <w:tcBorders>
              <w:top w:val="nil"/>
              <w:left w:val="nil"/>
              <w:bottom w:val="nil"/>
              <w:right w:val="nil"/>
            </w:tcBorders>
            <w:noWrap/>
            <w:vAlign w:val="center"/>
            <w:hideMark/>
          </w:tcPr>
          <w:p w14:paraId="1D0CCB4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14227-1:2013-10</w:t>
            </w:r>
          </w:p>
        </w:tc>
        <w:tc>
          <w:tcPr>
            <w:tcW w:w="7512" w:type="dxa"/>
            <w:tcBorders>
              <w:top w:val="nil"/>
              <w:left w:val="nil"/>
              <w:bottom w:val="nil"/>
              <w:right w:val="nil"/>
            </w:tcBorders>
            <w:vAlign w:val="center"/>
            <w:hideMark/>
          </w:tcPr>
          <w:p w14:paraId="0EDF072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Mieszanki związane spoiwem hydraulicznym - Specyfikacje - Część 1: Mieszanki związane cementem</w:t>
            </w:r>
          </w:p>
        </w:tc>
      </w:tr>
      <w:tr w:rsidR="00282AE9" w:rsidRPr="00282AE9" w14:paraId="2EA14F7E" w14:textId="77777777" w:rsidTr="00282AE9">
        <w:trPr>
          <w:trHeight w:val="300"/>
        </w:trPr>
        <w:tc>
          <w:tcPr>
            <w:tcW w:w="2127" w:type="dxa"/>
            <w:tcBorders>
              <w:top w:val="nil"/>
              <w:left w:val="nil"/>
              <w:bottom w:val="nil"/>
              <w:right w:val="nil"/>
            </w:tcBorders>
            <w:noWrap/>
            <w:vAlign w:val="center"/>
            <w:hideMark/>
          </w:tcPr>
          <w:p w14:paraId="29596C2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14647:2007</w:t>
            </w:r>
          </w:p>
        </w:tc>
        <w:tc>
          <w:tcPr>
            <w:tcW w:w="7512" w:type="dxa"/>
            <w:tcBorders>
              <w:top w:val="nil"/>
              <w:left w:val="nil"/>
              <w:bottom w:val="nil"/>
              <w:right w:val="nil"/>
            </w:tcBorders>
            <w:vAlign w:val="center"/>
            <w:hideMark/>
          </w:tcPr>
          <w:p w14:paraId="669649F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Cement </w:t>
            </w:r>
            <w:proofErr w:type="spellStart"/>
            <w:r w:rsidRPr="00282AE9">
              <w:rPr>
                <w:rFonts w:eastAsia="Times New Roman" w:cs="Calibri"/>
                <w:color w:val="000000"/>
                <w:lang w:eastAsia="pl-PL"/>
              </w:rPr>
              <w:t>glinowo-wapniowy</w:t>
            </w:r>
            <w:proofErr w:type="spellEnd"/>
            <w:r w:rsidRPr="00282AE9">
              <w:rPr>
                <w:rFonts w:eastAsia="Times New Roman" w:cs="Calibri"/>
                <w:color w:val="000000"/>
                <w:lang w:eastAsia="pl-PL"/>
              </w:rPr>
              <w:t xml:space="preserve"> - Skład, wymagania i kryteria zgodności</w:t>
            </w:r>
          </w:p>
        </w:tc>
      </w:tr>
      <w:tr w:rsidR="00282AE9" w:rsidRPr="00282AE9" w14:paraId="5F3DD9AC" w14:textId="77777777" w:rsidTr="00282AE9">
        <w:trPr>
          <w:trHeight w:val="300"/>
        </w:trPr>
        <w:tc>
          <w:tcPr>
            <w:tcW w:w="2127" w:type="dxa"/>
            <w:tcBorders>
              <w:top w:val="nil"/>
              <w:left w:val="nil"/>
              <w:bottom w:val="nil"/>
              <w:right w:val="nil"/>
            </w:tcBorders>
            <w:noWrap/>
            <w:vAlign w:val="center"/>
            <w:hideMark/>
          </w:tcPr>
          <w:p w14:paraId="7D7373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15743+A1:2015-06</w:t>
            </w:r>
          </w:p>
        </w:tc>
        <w:tc>
          <w:tcPr>
            <w:tcW w:w="7512" w:type="dxa"/>
            <w:tcBorders>
              <w:top w:val="nil"/>
              <w:left w:val="nil"/>
              <w:bottom w:val="nil"/>
              <w:right w:val="nil"/>
            </w:tcBorders>
            <w:vAlign w:val="center"/>
            <w:hideMark/>
          </w:tcPr>
          <w:p w14:paraId="512DA5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Cement </w:t>
            </w:r>
            <w:proofErr w:type="spellStart"/>
            <w:r w:rsidRPr="00282AE9">
              <w:rPr>
                <w:rFonts w:eastAsia="Times New Roman" w:cs="Calibri"/>
                <w:color w:val="000000"/>
                <w:lang w:eastAsia="pl-PL"/>
              </w:rPr>
              <w:t>supersiarczanowy</w:t>
            </w:r>
            <w:proofErr w:type="spellEnd"/>
            <w:r w:rsidRPr="00282AE9">
              <w:rPr>
                <w:rFonts w:eastAsia="Times New Roman" w:cs="Calibri"/>
                <w:color w:val="000000"/>
                <w:lang w:eastAsia="pl-PL"/>
              </w:rPr>
              <w:t xml:space="preserve"> - Skład, wymagania i kryteria zgodności</w:t>
            </w:r>
          </w:p>
        </w:tc>
      </w:tr>
      <w:tr w:rsidR="00282AE9" w:rsidRPr="00282AE9" w14:paraId="59070119" w14:textId="77777777" w:rsidTr="00282AE9">
        <w:trPr>
          <w:trHeight w:val="300"/>
        </w:trPr>
        <w:tc>
          <w:tcPr>
            <w:tcW w:w="2127" w:type="dxa"/>
            <w:tcBorders>
              <w:top w:val="nil"/>
              <w:left w:val="nil"/>
              <w:bottom w:val="nil"/>
              <w:right w:val="nil"/>
            </w:tcBorders>
            <w:noWrap/>
            <w:vAlign w:val="center"/>
            <w:hideMark/>
          </w:tcPr>
          <w:p w14:paraId="62D48A8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16908:2017-02</w:t>
            </w:r>
          </w:p>
        </w:tc>
        <w:tc>
          <w:tcPr>
            <w:tcW w:w="7512" w:type="dxa"/>
            <w:tcBorders>
              <w:top w:val="nil"/>
              <w:left w:val="nil"/>
              <w:bottom w:val="nil"/>
              <w:right w:val="nil"/>
            </w:tcBorders>
            <w:vAlign w:val="center"/>
            <w:hideMark/>
          </w:tcPr>
          <w:p w14:paraId="0ED33E3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i wapno budowlane - Deklaracje środowiskowe wyrobów - Zasady kategoryzacji wyrobów będące uzupełnieniem postanowień EN 15804</w:t>
            </w:r>
          </w:p>
        </w:tc>
      </w:tr>
      <w:tr w:rsidR="00282AE9" w:rsidRPr="00282AE9" w14:paraId="3CAB7D85" w14:textId="77777777" w:rsidTr="00282AE9">
        <w:trPr>
          <w:trHeight w:val="300"/>
        </w:trPr>
        <w:tc>
          <w:tcPr>
            <w:tcW w:w="2127" w:type="dxa"/>
            <w:tcBorders>
              <w:top w:val="nil"/>
              <w:left w:val="nil"/>
              <w:bottom w:val="nil"/>
              <w:right w:val="nil"/>
            </w:tcBorders>
            <w:noWrap/>
            <w:vAlign w:val="center"/>
            <w:hideMark/>
          </w:tcPr>
          <w:p w14:paraId="7CC2079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1744-6:2008</w:t>
            </w:r>
          </w:p>
        </w:tc>
        <w:tc>
          <w:tcPr>
            <w:tcW w:w="7512" w:type="dxa"/>
            <w:tcBorders>
              <w:top w:val="nil"/>
              <w:left w:val="nil"/>
              <w:bottom w:val="nil"/>
              <w:right w:val="nil"/>
            </w:tcBorders>
            <w:vAlign w:val="center"/>
            <w:hideMark/>
          </w:tcPr>
          <w:p w14:paraId="3AAA91E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chemicznych właściwości kruszyw - Część 6: Oznaczanie wpływu wyciągu z kruszyw z recyklingu na początek czasu wiązania cementu</w:t>
            </w:r>
          </w:p>
        </w:tc>
      </w:tr>
      <w:tr w:rsidR="00282AE9" w:rsidRPr="00282AE9" w14:paraId="24CC3ED1" w14:textId="77777777" w:rsidTr="00282AE9">
        <w:trPr>
          <w:trHeight w:val="300"/>
        </w:trPr>
        <w:tc>
          <w:tcPr>
            <w:tcW w:w="2127" w:type="dxa"/>
            <w:tcBorders>
              <w:top w:val="nil"/>
              <w:left w:val="nil"/>
              <w:bottom w:val="nil"/>
              <w:right w:val="nil"/>
            </w:tcBorders>
            <w:noWrap/>
            <w:vAlign w:val="center"/>
            <w:hideMark/>
          </w:tcPr>
          <w:p w14:paraId="19FB18C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196-10:2016-07</w:t>
            </w:r>
          </w:p>
        </w:tc>
        <w:tc>
          <w:tcPr>
            <w:tcW w:w="7512" w:type="dxa"/>
            <w:tcBorders>
              <w:top w:val="nil"/>
              <w:left w:val="nil"/>
              <w:bottom w:val="nil"/>
              <w:right w:val="nil"/>
            </w:tcBorders>
            <w:vAlign w:val="center"/>
            <w:hideMark/>
          </w:tcPr>
          <w:p w14:paraId="50F3673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10: Oznaczanie w cemencie zawartości chromu (VI) rozpuszczalnego w wodzie</w:t>
            </w:r>
          </w:p>
        </w:tc>
      </w:tr>
      <w:tr w:rsidR="00282AE9" w:rsidRPr="00282AE9" w14:paraId="0A5EE672" w14:textId="77777777" w:rsidTr="00282AE9">
        <w:trPr>
          <w:trHeight w:val="300"/>
        </w:trPr>
        <w:tc>
          <w:tcPr>
            <w:tcW w:w="2127" w:type="dxa"/>
            <w:tcBorders>
              <w:top w:val="nil"/>
              <w:left w:val="nil"/>
              <w:bottom w:val="nil"/>
              <w:right w:val="nil"/>
            </w:tcBorders>
            <w:noWrap/>
            <w:vAlign w:val="center"/>
            <w:hideMark/>
          </w:tcPr>
          <w:p w14:paraId="4A929F7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196-11:2019-01</w:t>
            </w:r>
          </w:p>
        </w:tc>
        <w:tc>
          <w:tcPr>
            <w:tcW w:w="7512" w:type="dxa"/>
            <w:tcBorders>
              <w:top w:val="nil"/>
              <w:left w:val="nil"/>
              <w:bottom w:val="nil"/>
              <w:right w:val="nil"/>
            </w:tcBorders>
            <w:vAlign w:val="center"/>
            <w:hideMark/>
          </w:tcPr>
          <w:p w14:paraId="75FD1D6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11: Ciepło hydratacji -Metoda kalorymetrii izotermicznej</w:t>
            </w:r>
          </w:p>
        </w:tc>
      </w:tr>
      <w:tr w:rsidR="00282AE9" w:rsidRPr="00282AE9" w14:paraId="25BD1C2E" w14:textId="77777777" w:rsidTr="00282AE9">
        <w:trPr>
          <w:trHeight w:val="300"/>
        </w:trPr>
        <w:tc>
          <w:tcPr>
            <w:tcW w:w="2127" w:type="dxa"/>
            <w:tcBorders>
              <w:top w:val="nil"/>
              <w:left w:val="nil"/>
              <w:bottom w:val="nil"/>
              <w:right w:val="nil"/>
            </w:tcBorders>
            <w:noWrap/>
            <w:vAlign w:val="center"/>
            <w:hideMark/>
          </w:tcPr>
          <w:p w14:paraId="75BB630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196-1:2016-07</w:t>
            </w:r>
          </w:p>
        </w:tc>
        <w:tc>
          <w:tcPr>
            <w:tcW w:w="7512" w:type="dxa"/>
            <w:tcBorders>
              <w:top w:val="nil"/>
              <w:left w:val="nil"/>
              <w:bottom w:val="nil"/>
              <w:right w:val="nil"/>
            </w:tcBorders>
            <w:vAlign w:val="center"/>
            <w:hideMark/>
          </w:tcPr>
          <w:p w14:paraId="30D2E58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1: Oznaczanie wytrzymałości</w:t>
            </w:r>
          </w:p>
        </w:tc>
      </w:tr>
      <w:tr w:rsidR="00282AE9" w:rsidRPr="00282AE9" w14:paraId="33492CED" w14:textId="77777777" w:rsidTr="00282AE9">
        <w:trPr>
          <w:trHeight w:val="300"/>
        </w:trPr>
        <w:tc>
          <w:tcPr>
            <w:tcW w:w="2127" w:type="dxa"/>
            <w:tcBorders>
              <w:top w:val="nil"/>
              <w:left w:val="nil"/>
              <w:bottom w:val="nil"/>
              <w:right w:val="nil"/>
            </w:tcBorders>
            <w:noWrap/>
            <w:vAlign w:val="center"/>
            <w:hideMark/>
          </w:tcPr>
          <w:p w14:paraId="62EECE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196-2:2013-11</w:t>
            </w:r>
          </w:p>
        </w:tc>
        <w:tc>
          <w:tcPr>
            <w:tcW w:w="7512" w:type="dxa"/>
            <w:tcBorders>
              <w:top w:val="nil"/>
              <w:left w:val="nil"/>
              <w:bottom w:val="nil"/>
              <w:right w:val="nil"/>
            </w:tcBorders>
            <w:vAlign w:val="center"/>
            <w:hideMark/>
          </w:tcPr>
          <w:p w14:paraId="7E84449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2: Analiza chemiczna cementu</w:t>
            </w:r>
          </w:p>
        </w:tc>
      </w:tr>
      <w:tr w:rsidR="00282AE9" w:rsidRPr="00282AE9" w14:paraId="463A3510" w14:textId="77777777" w:rsidTr="00282AE9">
        <w:trPr>
          <w:trHeight w:val="300"/>
        </w:trPr>
        <w:tc>
          <w:tcPr>
            <w:tcW w:w="2127" w:type="dxa"/>
            <w:tcBorders>
              <w:top w:val="nil"/>
              <w:left w:val="nil"/>
              <w:bottom w:val="nil"/>
              <w:right w:val="nil"/>
            </w:tcBorders>
            <w:noWrap/>
            <w:vAlign w:val="center"/>
            <w:hideMark/>
          </w:tcPr>
          <w:p w14:paraId="194D5D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196-3:2016-12</w:t>
            </w:r>
          </w:p>
        </w:tc>
        <w:tc>
          <w:tcPr>
            <w:tcW w:w="7512" w:type="dxa"/>
            <w:tcBorders>
              <w:top w:val="nil"/>
              <w:left w:val="nil"/>
              <w:bottom w:val="nil"/>
              <w:right w:val="nil"/>
            </w:tcBorders>
            <w:vAlign w:val="center"/>
            <w:hideMark/>
          </w:tcPr>
          <w:p w14:paraId="480A17A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3: Oznaczanie czasów wiązania i stałości objętości</w:t>
            </w:r>
          </w:p>
        </w:tc>
      </w:tr>
      <w:tr w:rsidR="00282AE9" w:rsidRPr="00282AE9" w14:paraId="3C5103B4" w14:textId="77777777" w:rsidTr="00282AE9">
        <w:trPr>
          <w:trHeight w:val="300"/>
        </w:trPr>
        <w:tc>
          <w:tcPr>
            <w:tcW w:w="2127" w:type="dxa"/>
            <w:tcBorders>
              <w:top w:val="nil"/>
              <w:left w:val="nil"/>
              <w:bottom w:val="nil"/>
              <w:right w:val="nil"/>
            </w:tcBorders>
            <w:noWrap/>
            <w:vAlign w:val="center"/>
            <w:hideMark/>
          </w:tcPr>
          <w:p w14:paraId="4212870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196-5:2011</w:t>
            </w:r>
          </w:p>
        </w:tc>
        <w:tc>
          <w:tcPr>
            <w:tcW w:w="7512" w:type="dxa"/>
            <w:tcBorders>
              <w:top w:val="nil"/>
              <w:left w:val="nil"/>
              <w:bottom w:val="nil"/>
              <w:right w:val="nil"/>
            </w:tcBorders>
            <w:vAlign w:val="center"/>
            <w:hideMark/>
          </w:tcPr>
          <w:p w14:paraId="5BD2AD5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Metody badania cementu - Część 5: Badanie </w:t>
            </w:r>
            <w:proofErr w:type="spellStart"/>
            <w:r w:rsidRPr="00282AE9">
              <w:rPr>
                <w:rFonts w:eastAsia="Times New Roman" w:cs="Calibri"/>
                <w:color w:val="000000"/>
                <w:lang w:eastAsia="pl-PL"/>
              </w:rPr>
              <w:t>pucolanowości</w:t>
            </w:r>
            <w:proofErr w:type="spellEnd"/>
            <w:r w:rsidRPr="00282AE9">
              <w:rPr>
                <w:rFonts w:eastAsia="Times New Roman" w:cs="Calibri"/>
                <w:color w:val="000000"/>
                <w:lang w:eastAsia="pl-PL"/>
              </w:rPr>
              <w:t xml:space="preserve"> cementów </w:t>
            </w:r>
            <w:proofErr w:type="spellStart"/>
            <w:r w:rsidRPr="00282AE9">
              <w:rPr>
                <w:rFonts w:eastAsia="Times New Roman" w:cs="Calibri"/>
                <w:color w:val="000000"/>
                <w:lang w:eastAsia="pl-PL"/>
              </w:rPr>
              <w:t>pucolanowych</w:t>
            </w:r>
            <w:proofErr w:type="spellEnd"/>
          </w:p>
        </w:tc>
      </w:tr>
      <w:tr w:rsidR="00282AE9" w:rsidRPr="00282AE9" w14:paraId="016DEAA9" w14:textId="77777777" w:rsidTr="00282AE9">
        <w:trPr>
          <w:trHeight w:val="300"/>
        </w:trPr>
        <w:tc>
          <w:tcPr>
            <w:tcW w:w="2127" w:type="dxa"/>
            <w:tcBorders>
              <w:top w:val="nil"/>
              <w:left w:val="nil"/>
              <w:bottom w:val="nil"/>
              <w:right w:val="nil"/>
            </w:tcBorders>
            <w:noWrap/>
            <w:vAlign w:val="center"/>
            <w:hideMark/>
          </w:tcPr>
          <w:p w14:paraId="0B07D81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196-6:2019-01</w:t>
            </w:r>
          </w:p>
        </w:tc>
        <w:tc>
          <w:tcPr>
            <w:tcW w:w="7512" w:type="dxa"/>
            <w:tcBorders>
              <w:top w:val="nil"/>
              <w:left w:val="nil"/>
              <w:bottom w:val="nil"/>
              <w:right w:val="nil"/>
            </w:tcBorders>
            <w:vAlign w:val="center"/>
            <w:hideMark/>
          </w:tcPr>
          <w:p w14:paraId="46FA0A6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6: Oznaczanie stopnia zmielenia</w:t>
            </w:r>
          </w:p>
        </w:tc>
      </w:tr>
      <w:tr w:rsidR="00282AE9" w:rsidRPr="00282AE9" w14:paraId="2221EDE2" w14:textId="77777777" w:rsidTr="00282AE9">
        <w:trPr>
          <w:trHeight w:val="300"/>
        </w:trPr>
        <w:tc>
          <w:tcPr>
            <w:tcW w:w="2127" w:type="dxa"/>
            <w:tcBorders>
              <w:top w:val="nil"/>
              <w:left w:val="nil"/>
              <w:bottom w:val="nil"/>
              <w:right w:val="nil"/>
            </w:tcBorders>
            <w:noWrap/>
            <w:vAlign w:val="center"/>
            <w:hideMark/>
          </w:tcPr>
          <w:p w14:paraId="70D015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196-7:2009</w:t>
            </w:r>
          </w:p>
        </w:tc>
        <w:tc>
          <w:tcPr>
            <w:tcW w:w="7512" w:type="dxa"/>
            <w:tcBorders>
              <w:top w:val="nil"/>
              <w:left w:val="nil"/>
              <w:bottom w:val="nil"/>
              <w:right w:val="nil"/>
            </w:tcBorders>
            <w:vAlign w:val="center"/>
            <w:hideMark/>
          </w:tcPr>
          <w:p w14:paraId="79DCAE9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7: Metody pobierania i przygotowania próbek cementu</w:t>
            </w:r>
          </w:p>
        </w:tc>
      </w:tr>
      <w:tr w:rsidR="00282AE9" w:rsidRPr="00282AE9" w14:paraId="04D399C7" w14:textId="77777777" w:rsidTr="00282AE9">
        <w:trPr>
          <w:trHeight w:val="300"/>
        </w:trPr>
        <w:tc>
          <w:tcPr>
            <w:tcW w:w="2127" w:type="dxa"/>
            <w:tcBorders>
              <w:top w:val="nil"/>
              <w:left w:val="nil"/>
              <w:bottom w:val="nil"/>
              <w:right w:val="nil"/>
            </w:tcBorders>
            <w:noWrap/>
            <w:vAlign w:val="center"/>
            <w:hideMark/>
          </w:tcPr>
          <w:p w14:paraId="0AAFBEA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196-8:2010</w:t>
            </w:r>
          </w:p>
        </w:tc>
        <w:tc>
          <w:tcPr>
            <w:tcW w:w="7512" w:type="dxa"/>
            <w:tcBorders>
              <w:top w:val="nil"/>
              <w:left w:val="nil"/>
              <w:bottom w:val="nil"/>
              <w:right w:val="nil"/>
            </w:tcBorders>
            <w:vAlign w:val="center"/>
            <w:hideMark/>
          </w:tcPr>
          <w:p w14:paraId="13321E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cementu - Część 8: Ciepło hydratacji - Metoda rozpuszczania</w:t>
            </w:r>
          </w:p>
        </w:tc>
      </w:tr>
      <w:tr w:rsidR="00282AE9" w:rsidRPr="00282AE9" w14:paraId="12E79AF3" w14:textId="77777777" w:rsidTr="00282AE9">
        <w:trPr>
          <w:trHeight w:val="300"/>
        </w:trPr>
        <w:tc>
          <w:tcPr>
            <w:tcW w:w="2127" w:type="dxa"/>
            <w:tcBorders>
              <w:top w:val="nil"/>
              <w:left w:val="nil"/>
              <w:bottom w:val="nil"/>
              <w:right w:val="nil"/>
            </w:tcBorders>
            <w:noWrap/>
            <w:vAlign w:val="center"/>
            <w:hideMark/>
          </w:tcPr>
          <w:p w14:paraId="44BF26D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196-9:2010</w:t>
            </w:r>
          </w:p>
        </w:tc>
        <w:tc>
          <w:tcPr>
            <w:tcW w:w="7512" w:type="dxa"/>
            <w:tcBorders>
              <w:top w:val="nil"/>
              <w:left w:val="nil"/>
              <w:bottom w:val="nil"/>
              <w:right w:val="nil"/>
            </w:tcBorders>
            <w:vAlign w:val="center"/>
            <w:hideMark/>
          </w:tcPr>
          <w:p w14:paraId="7441946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Metody badania cementu - Część 9: Ciepło hydratacji - Metoda </w:t>
            </w:r>
            <w:proofErr w:type="spellStart"/>
            <w:r w:rsidRPr="00282AE9">
              <w:rPr>
                <w:rFonts w:eastAsia="Times New Roman" w:cs="Calibri"/>
                <w:color w:val="000000"/>
                <w:lang w:eastAsia="pl-PL"/>
              </w:rPr>
              <w:t>semiadiabatyczna</w:t>
            </w:r>
            <w:proofErr w:type="spellEnd"/>
          </w:p>
        </w:tc>
      </w:tr>
      <w:tr w:rsidR="00282AE9" w:rsidRPr="00282AE9" w14:paraId="75B35119" w14:textId="77777777" w:rsidTr="00282AE9">
        <w:trPr>
          <w:trHeight w:val="300"/>
        </w:trPr>
        <w:tc>
          <w:tcPr>
            <w:tcW w:w="2127" w:type="dxa"/>
            <w:tcBorders>
              <w:top w:val="nil"/>
              <w:left w:val="nil"/>
              <w:bottom w:val="nil"/>
              <w:right w:val="nil"/>
            </w:tcBorders>
            <w:noWrap/>
            <w:vAlign w:val="center"/>
            <w:hideMark/>
          </w:tcPr>
          <w:p w14:paraId="5A301A3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197-1:2012</w:t>
            </w:r>
          </w:p>
        </w:tc>
        <w:tc>
          <w:tcPr>
            <w:tcW w:w="7512" w:type="dxa"/>
            <w:tcBorders>
              <w:top w:val="nil"/>
              <w:left w:val="nil"/>
              <w:bottom w:val="nil"/>
              <w:right w:val="nil"/>
            </w:tcBorders>
            <w:vAlign w:val="center"/>
            <w:hideMark/>
          </w:tcPr>
          <w:p w14:paraId="026B9EA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 Część 1: Skład, wymagania i kryteria zgodności dotyczące cementów powszechnego użytku</w:t>
            </w:r>
          </w:p>
        </w:tc>
      </w:tr>
      <w:tr w:rsidR="00282AE9" w:rsidRPr="00282AE9" w14:paraId="78FC35D2" w14:textId="77777777" w:rsidTr="00282AE9">
        <w:trPr>
          <w:trHeight w:val="300"/>
        </w:trPr>
        <w:tc>
          <w:tcPr>
            <w:tcW w:w="2127" w:type="dxa"/>
            <w:tcBorders>
              <w:top w:val="nil"/>
              <w:left w:val="nil"/>
              <w:bottom w:val="nil"/>
              <w:right w:val="nil"/>
            </w:tcBorders>
            <w:noWrap/>
            <w:vAlign w:val="center"/>
            <w:hideMark/>
          </w:tcPr>
          <w:p w14:paraId="7B3B2EC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197-2:2020-09</w:t>
            </w:r>
          </w:p>
        </w:tc>
        <w:tc>
          <w:tcPr>
            <w:tcW w:w="7512" w:type="dxa"/>
            <w:tcBorders>
              <w:top w:val="nil"/>
              <w:left w:val="nil"/>
              <w:bottom w:val="nil"/>
              <w:right w:val="nil"/>
            </w:tcBorders>
            <w:vAlign w:val="center"/>
            <w:hideMark/>
          </w:tcPr>
          <w:p w14:paraId="287DB10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 Część 2: Ocena i weryfikacja stałości właściwości użytkowych</w:t>
            </w:r>
          </w:p>
        </w:tc>
      </w:tr>
      <w:tr w:rsidR="00282AE9" w:rsidRPr="00282AE9" w14:paraId="5C4B5E2B" w14:textId="77777777" w:rsidTr="00282AE9">
        <w:trPr>
          <w:trHeight w:val="300"/>
        </w:trPr>
        <w:tc>
          <w:tcPr>
            <w:tcW w:w="2127" w:type="dxa"/>
            <w:tcBorders>
              <w:top w:val="nil"/>
              <w:left w:val="nil"/>
              <w:bottom w:val="nil"/>
              <w:right w:val="nil"/>
            </w:tcBorders>
            <w:noWrap/>
            <w:vAlign w:val="center"/>
            <w:hideMark/>
          </w:tcPr>
          <w:p w14:paraId="7EA9BD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197-5:2021-07</w:t>
            </w:r>
          </w:p>
        </w:tc>
        <w:tc>
          <w:tcPr>
            <w:tcW w:w="7512" w:type="dxa"/>
            <w:tcBorders>
              <w:top w:val="nil"/>
              <w:left w:val="nil"/>
              <w:bottom w:val="nil"/>
              <w:right w:val="nil"/>
            </w:tcBorders>
            <w:vAlign w:val="center"/>
            <w:hideMark/>
          </w:tcPr>
          <w:p w14:paraId="50E780F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 Część 5: Cement portlandzki wieloskładnikowy CEM II/C-M i cement wieloskładnikowy CEM VI</w:t>
            </w:r>
          </w:p>
        </w:tc>
      </w:tr>
      <w:tr w:rsidR="00282AE9" w:rsidRPr="00282AE9" w14:paraId="1678A114" w14:textId="77777777" w:rsidTr="00282AE9">
        <w:trPr>
          <w:trHeight w:val="300"/>
        </w:trPr>
        <w:tc>
          <w:tcPr>
            <w:tcW w:w="2127" w:type="dxa"/>
            <w:tcBorders>
              <w:top w:val="nil"/>
              <w:left w:val="nil"/>
              <w:bottom w:val="nil"/>
              <w:right w:val="nil"/>
            </w:tcBorders>
            <w:noWrap/>
            <w:vAlign w:val="center"/>
            <w:hideMark/>
          </w:tcPr>
          <w:p w14:paraId="52687AA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413-1:2011</w:t>
            </w:r>
          </w:p>
        </w:tc>
        <w:tc>
          <w:tcPr>
            <w:tcW w:w="7512" w:type="dxa"/>
            <w:tcBorders>
              <w:top w:val="nil"/>
              <w:left w:val="nil"/>
              <w:bottom w:val="nil"/>
              <w:right w:val="nil"/>
            </w:tcBorders>
            <w:vAlign w:val="center"/>
            <w:hideMark/>
          </w:tcPr>
          <w:p w14:paraId="0D371DA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murarski - Część 1: Skład, wymagania i kryteria zgodności</w:t>
            </w:r>
          </w:p>
        </w:tc>
      </w:tr>
      <w:tr w:rsidR="00282AE9" w:rsidRPr="00282AE9" w14:paraId="38B5CCBD" w14:textId="77777777" w:rsidTr="00282AE9">
        <w:trPr>
          <w:trHeight w:val="300"/>
        </w:trPr>
        <w:tc>
          <w:tcPr>
            <w:tcW w:w="2127" w:type="dxa"/>
            <w:tcBorders>
              <w:top w:val="nil"/>
              <w:left w:val="nil"/>
              <w:bottom w:val="nil"/>
              <w:right w:val="nil"/>
            </w:tcBorders>
            <w:noWrap/>
            <w:vAlign w:val="center"/>
            <w:hideMark/>
          </w:tcPr>
          <w:p w14:paraId="2CC82BD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413-2:2016-11</w:t>
            </w:r>
          </w:p>
        </w:tc>
        <w:tc>
          <w:tcPr>
            <w:tcW w:w="7512" w:type="dxa"/>
            <w:tcBorders>
              <w:top w:val="nil"/>
              <w:left w:val="nil"/>
              <w:bottom w:val="nil"/>
              <w:right w:val="nil"/>
            </w:tcBorders>
            <w:vAlign w:val="center"/>
            <w:hideMark/>
          </w:tcPr>
          <w:p w14:paraId="1646E4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Cement murarski - Część 2: Metody badań</w:t>
            </w:r>
          </w:p>
        </w:tc>
      </w:tr>
      <w:tr w:rsidR="00282AE9" w:rsidRPr="00282AE9" w14:paraId="521E18C4" w14:textId="77777777" w:rsidTr="00282AE9">
        <w:trPr>
          <w:trHeight w:val="300"/>
        </w:trPr>
        <w:tc>
          <w:tcPr>
            <w:tcW w:w="2127" w:type="dxa"/>
            <w:tcBorders>
              <w:top w:val="nil"/>
              <w:left w:val="nil"/>
              <w:bottom w:val="nil"/>
              <w:right w:val="nil"/>
            </w:tcBorders>
            <w:noWrap/>
            <w:vAlign w:val="center"/>
            <w:hideMark/>
          </w:tcPr>
          <w:p w14:paraId="317C4FC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PKN-CEN/TS 12390-9:2017-07</w:t>
            </w:r>
          </w:p>
        </w:tc>
        <w:tc>
          <w:tcPr>
            <w:tcW w:w="7512" w:type="dxa"/>
            <w:tcBorders>
              <w:top w:val="nil"/>
              <w:left w:val="nil"/>
              <w:bottom w:val="nil"/>
              <w:right w:val="nil"/>
            </w:tcBorders>
            <w:vAlign w:val="center"/>
            <w:hideMark/>
          </w:tcPr>
          <w:p w14:paraId="090CFBA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9: Oznaczanie odporności na zamrażanie i rozmrażanie w obecności soli odladzających - Złuszczanie</w:t>
            </w:r>
          </w:p>
        </w:tc>
      </w:tr>
      <w:tr w:rsidR="00282AE9" w:rsidRPr="00282AE9" w14:paraId="28686D6E" w14:textId="77777777" w:rsidTr="00282AE9">
        <w:trPr>
          <w:trHeight w:val="300"/>
        </w:trPr>
        <w:tc>
          <w:tcPr>
            <w:tcW w:w="2127" w:type="dxa"/>
            <w:tcBorders>
              <w:top w:val="nil"/>
              <w:left w:val="nil"/>
              <w:bottom w:val="nil"/>
              <w:right w:val="nil"/>
            </w:tcBorders>
            <w:noWrap/>
            <w:vAlign w:val="center"/>
            <w:hideMark/>
          </w:tcPr>
          <w:p w14:paraId="67A909C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PN-B-06264:2019-10</w:t>
            </w:r>
          </w:p>
        </w:tc>
        <w:tc>
          <w:tcPr>
            <w:tcW w:w="7512" w:type="dxa"/>
            <w:tcBorders>
              <w:top w:val="nil"/>
              <w:left w:val="nil"/>
              <w:bottom w:val="nil"/>
              <w:right w:val="nil"/>
            </w:tcBorders>
            <w:vAlign w:val="center"/>
            <w:hideMark/>
          </w:tcPr>
          <w:p w14:paraId="5AE899FD" w14:textId="77777777" w:rsidR="00282AE9" w:rsidRPr="00282AE9" w:rsidRDefault="00282AE9" w:rsidP="00282AE9">
            <w:pPr>
              <w:spacing w:after="0" w:line="240" w:lineRule="auto"/>
              <w:rPr>
                <w:rFonts w:eastAsia="Times New Roman" w:cs="Calibri"/>
                <w:color w:val="2F2F2F"/>
                <w:lang w:eastAsia="pl-PL"/>
              </w:rPr>
            </w:pPr>
            <w:r w:rsidRPr="00282AE9">
              <w:rPr>
                <w:rFonts w:eastAsia="Times New Roman" w:cs="Calibri"/>
                <w:color w:val="2F2F2F"/>
                <w:lang w:eastAsia="pl-PL"/>
              </w:rPr>
              <w:t>Nieniszczące badania konstrukcji z betonu - Badanie radiograficzne</w:t>
            </w:r>
          </w:p>
        </w:tc>
      </w:tr>
      <w:tr w:rsidR="00282AE9" w:rsidRPr="00282AE9" w14:paraId="5A136F50" w14:textId="77777777" w:rsidTr="00282AE9">
        <w:trPr>
          <w:trHeight w:val="300"/>
        </w:trPr>
        <w:tc>
          <w:tcPr>
            <w:tcW w:w="2127" w:type="dxa"/>
            <w:tcBorders>
              <w:top w:val="nil"/>
              <w:left w:val="nil"/>
              <w:bottom w:val="nil"/>
              <w:right w:val="nil"/>
            </w:tcBorders>
            <w:noWrap/>
            <w:vAlign w:val="center"/>
            <w:hideMark/>
          </w:tcPr>
          <w:p w14:paraId="493AEBB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PN-B-06265:2018-10</w:t>
            </w:r>
          </w:p>
        </w:tc>
        <w:tc>
          <w:tcPr>
            <w:tcW w:w="7512" w:type="dxa"/>
            <w:tcBorders>
              <w:top w:val="nil"/>
              <w:left w:val="nil"/>
              <w:bottom w:val="nil"/>
              <w:right w:val="nil"/>
            </w:tcBorders>
            <w:vAlign w:val="center"/>
            <w:hideMark/>
          </w:tcPr>
          <w:p w14:paraId="74722572" w14:textId="77777777" w:rsidR="00282AE9" w:rsidRPr="00282AE9" w:rsidRDefault="00282AE9" w:rsidP="00282AE9">
            <w:pPr>
              <w:spacing w:after="0" w:line="240" w:lineRule="auto"/>
              <w:rPr>
                <w:rFonts w:eastAsia="Times New Roman" w:cs="Calibri"/>
                <w:color w:val="2F2F2F"/>
                <w:lang w:eastAsia="pl-PL"/>
              </w:rPr>
            </w:pPr>
            <w:r w:rsidRPr="00282AE9">
              <w:rPr>
                <w:rFonts w:eastAsia="Times New Roman" w:cs="Calibri"/>
                <w:color w:val="2F2F2F"/>
                <w:lang w:eastAsia="pl-PL"/>
              </w:rPr>
              <w:t>Beton - Wymagania, właściwości, produkcja i zgodność - Krajowe uzupełnienie PN-EN 206+A1:2016-12</w:t>
            </w:r>
          </w:p>
        </w:tc>
      </w:tr>
      <w:tr w:rsidR="00282AE9" w:rsidRPr="00282AE9" w14:paraId="343EDDA0" w14:textId="77777777" w:rsidTr="00282AE9">
        <w:trPr>
          <w:trHeight w:val="300"/>
        </w:trPr>
        <w:tc>
          <w:tcPr>
            <w:tcW w:w="2127" w:type="dxa"/>
            <w:tcBorders>
              <w:top w:val="nil"/>
              <w:left w:val="nil"/>
              <w:bottom w:val="nil"/>
              <w:right w:val="nil"/>
            </w:tcBorders>
            <w:noWrap/>
            <w:vAlign w:val="center"/>
            <w:hideMark/>
          </w:tcPr>
          <w:p w14:paraId="36A2354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PN-B-19504:2004</w:t>
            </w:r>
          </w:p>
        </w:tc>
        <w:tc>
          <w:tcPr>
            <w:tcW w:w="7512" w:type="dxa"/>
            <w:tcBorders>
              <w:top w:val="nil"/>
              <w:left w:val="nil"/>
              <w:bottom w:val="nil"/>
              <w:right w:val="nil"/>
            </w:tcBorders>
            <w:vAlign w:val="center"/>
            <w:hideMark/>
          </w:tcPr>
          <w:p w14:paraId="07E340F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Prefabrykaty z betonu - Stropy </w:t>
            </w:r>
            <w:proofErr w:type="spellStart"/>
            <w:r w:rsidRPr="00282AE9">
              <w:rPr>
                <w:rFonts w:eastAsia="Times New Roman" w:cs="Calibri"/>
                <w:color w:val="000000"/>
                <w:lang w:eastAsia="pl-PL"/>
              </w:rPr>
              <w:t>gęstożebrowe</w:t>
            </w:r>
            <w:proofErr w:type="spellEnd"/>
            <w:r w:rsidRPr="00282AE9">
              <w:rPr>
                <w:rFonts w:eastAsia="Times New Roman" w:cs="Calibri"/>
                <w:color w:val="000000"/>
                <w:lang w:eastAsia="pl-PL"/>
              </w:rPr>
              <w:t xml:space="preserve"> zespolone - Pustaki</w:t>
            </w:r>
          </w:p>
        </w:tc>
      </w:tr>
      <w:tr w:rsidR="00282AE9" w:rsidRPr="00282AE9" w14:paraId="26FC1DB7" w14:textId="77777777" w:rsidTr="00282AE9">
        <w:trPr>
          <w:trHeight w:val="300"/>
        </w:trPr>
        <w:tc>
          <w:tcPr>
            <w:tcW w:w="2127" w:type="dxa"/>
            <w:tcBorders>
              <w:top w:val="nil"/>
              <w:left w:val="nil"/>
              <w:bottom w:val="nil"/>
              <w:right w:val="nil"/>
            </w:tcBorders>
            <w:noWrap/>
            <w:vAlign w:val="center"/>
            <w:hideMark/>
          </w:tcPr>
          <w:p w14:paraId="6AC923E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PN-B-19507:1997</w:t>
            </w:r>
          </w:p>
        </w:tc>
        <w:tc>
          <w:tcPr>
            <w:tcW w:w="7512" w:type="dxa"/>
            <w:tcBorders>
              <w:top w:val="nil"/>
              <w:left w:val="nil"/>
              <w:bottom w:val="nil"/>
              <w:right w:val="nil"/>
            </w:tcBorders>
            <w:vAlign w:val="center"/>
            <w:hideMark/>
          </w:tcPr>
          <w:p w14:paraId="4174556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klatek schodowych</w:t>
            </w:r>
          </w:p>
        </w:tc>
      </w:tr>
      <w:tr w:rsidR="00282AE9" w:rsidRPr="00282AE9" w14:paraId="2225C82D" w14:textId="77777777" w:rsidTr="00282AE9">
        <w:trPr>
          <w:trHeight w:val="300"/>
        </w:trPr>
        <w:tc>
          <w:tcPr>
            <w:tcW w:w="2127" w:type="dxa"/>
            <w:tcBorders>
              <w:top w:val="nil"/>
              <w:left w:val="nil"/>
              <w:bottom w:val="nil"/>
              <w:right w:val="nil"/>
            </w:tcBorders>
            <w:noWrap/>
            <w:vAlign w:val="center"/>
            <w:hideMark/>
          </w:tcPr>
          <w:p w14:paraId="310CC72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10080:2007</w:t>
            </w:r>
          </w:p>
        </w:tc>
        <w:tc>
          <w:tcPr>
            <w:tcW w:w="7512" w:type="dxa"/>
            <w:tcBorders>
              <w:top w:val="nil"/>
              <w:left w:val="nil"/>
              <w:bottom w:val="nil"/>
              <w:right w:val="nil"/>
            </w:tcBorders>
            <w:vAlign w:val="center"/>
            <w:hideMark/>
          </w:tcPr>
          <w:p w14:paraId="5240FC8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 Postanowienia ogólne</w:t>
            </w:r>
          </w:p>
        </w:tc>
      </w:tr>
      <w:tr w:rsidR="00282AE9" w:rsidRPr="00282AE9" w14:paraId="16A99F1F" w14:textId="77777777" w:rsidTr="00282AE9">
        <w:trPr>
          <w:trHeight w:val="300"/>
        </w:trPr>
        <w:tc>
          <w:tcPr>
            <w:tcW w:w="2127" w:type="dxa"/>
            <w:tcBorders>
              <w:top w:val="nil"/>
              <w:left w:val="nil"/>
              <w:bottom w:val="nil"/>
              <w:right w:val="nil"/>
            </w:tcBorders>
            <w:noWrap/>
            <w:vAlign w:val="center"/>
            <w:hideMark/>
          </w:tcPr>
          <w:p w14:paraId="1E7D321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1008:2004</w:t>
            </w:r>
          </w:p>
        </w:tc>
        <w:tc>
          <w:tcPr>
            <w:tcW w:w="7512" w:type="dxa"/>
            <w:tcBorders>
              <w:top w:val="nil"/>
              <w:left w:val="nil"/>
              <w:bottom w:val="nil"/>
              <w:right w:val="nil"/>
            </w:tcBorders>
            <w:vAlign w:val="center"/>
            <w:hideMark/>
          </w:tcPr>
          <w:p w14:paraId="43F7DB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Woda zarobowa do betonu - Specyfikacja pobierania próbek, badanie i ocena przydatności wody zarobowej do betonu, w tym wody odzyskanej z procesów produkcji betonu</w:t>
            </w:r>
          </w:p>
        </w:tc>
      </w:tr>
      <w:tr w:rsidR="00282AE9" w:rsidRPr="00282AE9" w14:paraId="37FA7F08" w14:textId="77777777" w:rsidTr="00282AE9">
        <w:trPr>
          <w:trHeight w:val="300"/>
        </w:trPr>
        <w:tc>
          <w:tcPr>
            <w:tcW w:w="2127" w:type="dxa"/>
            <w:tcBorders>
              <w:top w:val="nil"/>
              <w:left w:val="nil"/>
              <w:bottom w:val="nil"/>
              <w:right w:val="nil"/>
            </w:tcBorders>
            <w:noWrap/>
            <w:vAlign w:val="center"/>
            <w:hideMark/>
          </w:tcPr>
          <w:p w14:paraId="044A16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10348-2:2019-11</w:t>
            </w:r>
          </w:p>
        </w:tc>
        <w:tc>
          <w:tcPr>
            <w:tcW w:w="7512" w:type="dxa"/>
            <w:tcBorders>
              <w:top w:val="nil"/>
              <w:left w:val="nil"/>
              <w:bottom w:val="nil"/>
              <w:right w:val="nil"/>
            </w:tcBorders>
            <w:vAlign w:val="center"/>
            <w:hideMark/>
          </w:tcPr>
          <w:p w14:paraId="294ADC8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betonu - Stal zbrojeniowa ocynkowana - Część 2: Wyroby ze stali zbrojeniowej ocynkowanej</w:t>
            </w:r>
          </w:p>
        </w:tc>
      </w:tr>
      <w:tr w:rsidR="00282AE9" w:rsidRPr="00282AE9" w14:paraId="056FE0A0" w14:textId="77777777" w:rsidTr="00282AE9">
        <w:trPr>
          <w:trHeight w:val="300"/>
        </w:trPr>
        <w:tc>
          <w:tcPr>
            <w:tcW w:w="2127" w:type="dxa"/>
            <w:tcBorders>
              <w:top w:val="nil"/>
              <w:left w:val="nil"/>
              <w:bottom w:val="nil"/>
              <w:right w:val="nil"/>
            </w:tcBorders>
            <w:noWrap/>
            <w:vAlign w:val="center"/>
            <w:hideMark/>
          </w:tcPr>
          <w:p w14:paraId="1FE82F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1168+A3:2011</w:t>
            </w:r>
          </w:p>
        </w:tc>
        <w:tc>
          <w:tcPr>
            <w:tcW w:w="7512" w:type="dxa"/>
            <w:tcBorders>
              <w:top w:val="nil"/>
              <w:left w:val="nil"/>
              <w:bottom w:val="nil"/>
              <w:right w:val="nil"/>
            </w:tcBorders>
            <w:vAlign w:val="center"/>
            <w:hideMark/>
          </w:tcPr>
          <w:p w14:paraId="298243C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Płyty kanałowe</w:t>
            </w:r>
          </w:p>
        </w:tc>
      </w:tr>
      <w:tr w:rsidR="00282AE9" w:rsidRPr="00282AE9" w14:paraId="6DFEF2A4" w14:textId="77777777" w:rsidTr="00282AE9">
        <w:trPr>
          <w:trHeight w:val="300"/>
        </w:trPr>
        <w:tc>
          <w:tcPr>
            <w:tcW w:w="2127" w:type="dxa"/>
            <w:tcBorders>
              <w:top w:val="nil"/>
              <w:left w:val="nil"/>
              <w:bottom w:val="nil"/>
              <w:right w:val="nil"/>
            </w:tcBorders>
            <w:noWrap/>
            <w:vAlign w:val="center"/>
            <w:hideMark/>
          </w:tcPr>
          <w:p w14:paraId="300902B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1169:2001</w:t>
            </w:r>
          </w:p>
        </w:tc>
        <w:tc>
          <w:tcPr>
            <w:tcW w:w="7512" w:type="dxa"/>
            <w:tcBorders>
              <w:top w:val="nil"/>
              <w:left w:val="nil"/>
              <w:bottom w:val="nil"/>
              <w:right w:val="nil"/>
            </w:tcBorders>
            <w:vAlign w:val="center"/>
            <w:hideMark/>
          </w:tcPr>
          <w:p w14:paraId="64BAD15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Ogólne zasady fabrycznej kontroli produkcji betonu zbrojonego włóknem szklanym</w:t>
            </w:r>
          </w:p>
        </w:tc>
      </w:tr>
      <w:tr w:rsidR="00282AE9" w:rsidRPr="00282AE9" w14:paraId="527D9F03" w14:textId="77777777" w:rsidTr="00282AE9">
        <w:trPr>
          <w:trHeight w:val="300"/>
        </w:trPr>
        <w:tc>
          <w:tcPr>
            <w:tcW w:w="2127" w:type="dxa"/>
            <w:tcBorders>
              <w:top w:val="nil"/>
              <w:left w:val="nil"/>
              <w:bottom w:val="nil"/>
              <w:right w:val="nil"/>
            </w:tcBorders>
            <w:noWrap/>
            <w:vAlign w:val="center"/>
            <w:hideMark/>
          </w:tcPr>
          <w:p w14:paraId="68AF623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1170-1:1999</w:t>
            </w:r>
          </w:p>
        </w:tc>
        <w:tc>
          <w:tcPr>
            <w:tcW w:w="7512" w:type="dxa"/>
            <w:tcBorders>
              <w:top w:val="nil"/>
              <w:left w:val="nil"/>
              <w:bottom w:val="nil"/>
              <w:right w:val="nil"/>
            </w:tcBorders>
            <w:vAlign w:val="center"/>
            <w:hideMark/>
          </w:tcPr>
          <w:p w14:paraId="2B5762F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konsystencji świeżej matrycy cementowej metodą rozpływu</w:t>
            </w:r>
          </w:p>
        </w:tc>
      </w:tr>
      <w:tr w:rsidR="00282AE9" w:rsidRPr="00282AE9" w14:paraId="61C2F0F5" w14:textId="77777777" w:rsidTr="00282AE9">
        <w:trPr>
          <w:trHeight w:val="300"/>
        </w:trPr>
        <w:tc>
          <w:tcPr>
            <w:tcW w:w="2127" w:type="dxa"/>
            <w:tcBorders>
              <w:top w:val="nil"/>
              <w:left w:val="nil"/>
              <w:bottom w:val="nil"/>
              <w:right w:val="nil"/>
            </w:tcBorders>
            <w:noWrap/>
            <w:vAlign w:val="center"/>
            <w:hideMark/>
          </w:tcPr>
          <w:p w14:paraId="384A0F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1170-2:1999</w:t>
            </w:r>
          </w:p>
        </w:tc>
        <w:tc>
          <w:tcPr>
            <w:tcW w:w="7512" w:type="dxa"/>
            <w:tcBorders>
              <w:top w:val="nil"/>
              <w:left w:val="nil"/>
              <w:bottom w:val="nil"/>
              <w:right w:val="nil"/>
            </w:tcBorders>
            <w:vAlign w:val="center"/>
            <w:hideMark/>
          </w:tcPr>
          <w:p w14:paraId="0C4C2F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zawartości włókna w świeżym GRC metodą wypłukiwania</w:t>
            </w:r>
          </w:p>
        </w:tc>
      </w:tr>
      <w:tr w:rsidR="00282AE9" w:rsidRPr="00282AE9" w14:paraId="0E96F688" w14:textId="77777777" w:rsidTr="00282AE9">
        <w:trPr>
          <w:trHeight w:val="300"/>
        </w:trPr>
        <w:tc>
          <w:tcPr>
            <w:tcW w:w="2127" w:type="dxa"/>
            <w:tcBorders>
              <w:top w:val="nil"/>
              <w:left w:val="nil"/>
              <w:bottom w:val="nil"/>
              <w:right w:val="nil"/>
            </w:tcBorders>
            <w:noWrap/>
            <w:vAlign w:val="center"/>
            <w:hideMark/>
          </w:tcPr>
          <w:p w14:paraId="0EA2DAD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1170-3:1999</w:t>
            </w:r>
          </w:p>
        </w:tc>
        <w:tc>
          <w:tcPr>
            <w:tcW w:w="7512" w:type="dxa"/>
            <w:tcBorders>
              <w:top w:val="nil"/>
              <w:left w:val="nil"/>
              <w:bottom w:val="nil"/>
              <w:right w:val="nil"/>
            </w:tcBorders>
            <w:vAlign w:val="center"/>
            <w:hideMark/>
          </w:tcPr>
          <w:p w14:paraId="18B2634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zawartości włókna w GRC wykonanym metodą natrysku</w:t>
            </w:r>
          </w:p>
        </w:tc>
      </w:tr>
      <w:tr w:rsidR="00282AE9" w:rsidRPr="00282AE9" w14:paraId="7D13CD81" w14:textId="77777777" w:rsidTr="00282AE9">
        <w:trPr>
          <w:trHeight w:val="300"/>
        </w:trPr>
        <w:tc>
          <w:tcPr>
            <w:tcW w:w="2127" w:type="dxa"/>
            <w:tcBorders>
              <w:top w:val="nil"/>
              <w:left w:val="nil"/>
              <w:bottom w:val="nil"/>
              <w:right w:val="nil"/>
            </w:tcBorders>
            <w:noWrap/>
            <w:vAlign w:val="center"/>
            <w:hideMark/>
          </w:tcPr>
          <w:p w14:paraId="507C762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1170-4:1999</w:t>
            </w:r>
          </w:p>
        </w:tc>
        <w:tc>
          <w:tcPr>
            <w:tcW w:w="7512" w:type="dxa"/>
            <w:tcBorders>
              <w:top w:val="nil"/>
              <w:left w:val="nil"/>
              <w:bottom w:val="nil"/>
              <w:right w:val="nil"/>
            </w:tcBorders>
            <w:vAlign w:val="center"/>
            <w:hideMark/>
          </w:tcPr>
          <w:p w14:paraId="51CE941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wytrzymałości na zginanie - Badanie uproszczone</w:t>
            </w:r>
          </w:p>
        </w:tc>
      </w:tr>
      <w:tr w:rsidR="00282AE9" w:rsidRPr="00282AE9" w14:paraId="2E1FC831" w14:textId="77777777" w:rsidTr="00282AE9">
        <w:trPr>
          <w:trHeight w:val="300"/>
        </w:trPr>
        <w:tc>
          <w:tcPr>
            <w:tcW w:w="2127" w:type="dxa"/>
            <w:tcBorders>
              <w:top w:val="nil"/>
              <w:left w:val="nil"/>
              <w:bottom w:val="nil"/>
              <w:right w:val="nil"/>
            </w:tcBorders>
            <w:noWrap/>
            <w:vAlign w:val="center"/>
            <w:hideMark/>
          </w:tcPr>
          <w:p w14:paraId="7BBFD2E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1170-5:1999</w:t>
            </w:r>
          </w:p>
        </w:tc>
        <w:tc>
          <w:tcPr>
            <w:tcW w:w="7512" w:type="dxa"/>
            <w:tcBorders>
              <w:top w:val="nil"/>
              <w:left w:val="nil"/>
              <w:bottom w:val="nil"/>
              <w:right w:val="nil"/>
            </w:tcBorders>
            <w:vAlign w:val="center"/>
            <w:hideMark/>
          </w:tcPr>
          <w:p w14:paraId="090C0B7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wytrzymałości na zginanie - Badanie pełne</w:t>
            </w:r>
          </w:p>
        </w:tc>
      </w:tr>
      <w:tr w:rsidR="00282AE9" w:rsidRPr="00282AE9" w14:paraId="0F1383DE" w14:textId="77777777" w:rsidTr="00282AE9">
        <w:trPr>
          <w:trHeight w:val="300"/>
        </w:trPr>
        <w:tc>
          <w:tcPr>
            <w:tcW w:w="2127" w:type="dxa"/>
            <w:tcBorders>
              <w:top w:val="nil"/>
              <w:left w:val="nil"/>
              <w:bottom w:val="nil"/>
              <w:right w:val="nil"/>
            </w:tcBorders>
            <w:noWrap/>
            <w:vAlign w:val="center"/>
            <w:hideMark/>
          </w:tcPr>
          <w:p w14:paraId="144FC6F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1170-6:1999</w:t>
            </w:r>
          </w:p>
        </w:tc>
        <w:tc>
          <w:tcPr>
            <w:tcW w:w="7512" w:type="dxa"/>
            <w:tcBorders>
              <w:top w:val="nil"/>
              <w:left w:val="nil"/>
              <w:bottom w:val="nil"/>
              <w:right w:val="nil"/>
            </w:tcBorders>
            <w:vAlign w:val="center"/>
            <w:hideMark/>
          </w:tcPr>
          <w:p w14:paraId="53917A7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Oznaczanie nasiąkliwości przy zanurzeniu i oznaczanie gęstości w stanie suchym</w:t>
            </w:r>
          </w:p>
        </w:tc>
      </w:tr>
      <w:tr w:rsidR="00282AE9" w:rsidRPr="00282AE9" w14:paraId="751DCE47" w14:textId="77777777" w:rsidTr="00282AE9">
        <w:trPr>
          <w:trHeight w:val="300"/>
        </w:trPr>
        <w:tc>
          <w:tcPr>
            <w:tcW w:w="2127" w:type="dxa"/>
            <w:tcBorders>
              <w:top w:val="nil"/>
              <w:left w:val="nil"/>
              <w:bottom w:val="nil"/>
              <w:right w:val="nil"/>
            </w:tcBorders>
            <w:noWrap/>
            <w:vAlign w:val="center"/>
            <w:hideMark/>
          </w:tcPr>
          <w:p w14:paraId="7AB6995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1170-7:1999</w:t>
            </w:r>
          </w:p>
        </w:tc>
        <w:tc>
          <w:tcPr>
            <w:tcW w:w="7512" w:type="dxa"/>
            <w:tcBorders>
              <w:top w:val="nil"/>
              <w:left w:val="nil"/>
              <w:bottom w:val="nil"/>
              <w:right w:val="nil"/>
            </w:tcBorders>
            <w:vAlign w:val="center"/>
            <w:hideMark/>
          </w:tcPr>
          <w:p w14:paraId="4A247EB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betonowe - Metoda badania betonu zbrojonego włóknem szklanym - Pomiar skrajnych zmienności wymiarowych spowodowanych zawilgoceniem</w:t>
            </w:r>
          </w:p>
        </w:tc>
      </w:tr>
      <w:tr w:rsidR="00282AE9" w:rsidRPr="00282AE9" w14:paraId="6E2BE10D" w14:textId="77777777" w:rsidTr="00282AE9">
        <w:trPr>
          <w:trHeight w:val="300"/>
        </w:trPr>
        <w:tc>
          <w:tcPr>
            <w:tcW w:w="2127" w:type="dxa"/>
            <w:tcBorders>
              <w:top w:val="nil"/>
              <w:left w:val="nil"/>
              <w:bottom w:val="nil"/>
              <w:right w:val="nil"/>
            </w:tcBorders>
            <w:noWrap/>
            <w:vAlign w:val="center"/>
            <w:hideMark/>
          </w:tcPr>
          <w:p w14:paraId="137F62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1170-8:2009</w:t>
            </w:r>
          </w:p>
        </w:tc>
        <w:tc>
          <w:tcPr>
            <w:tcW w:w="7512" w:type="dxa"/>
            <w:tcBorders>
              <w:top w:val="nil"/>
              <w:left w:val="nil"/>
              <w:bottom w:val="nil"/>
              <w:right w:val="nil"/>
            </w:tcBorders>
            <w:vAlign w:val="center"/>
            <w:hideMark/>
          </w:tcPr>
          <w:p w14:paraId="18F445F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Metoda badania betonu zbrojonego włóknem szklanym - Część 8: Cykliczne badanie typu na starzenie w warunkach atmosferycznych</w:t>
            </w:r>
          </w:p>
        </w:tc>
      </w:tr>
      <w:tr w:rsidR="00282AE9" w:rsidRPr="00282AE9" w14:paraId="3A85EAF9" w14:textId="77777777" w:rsidTr="00282AE9">
        <w:trPr>
          <w:trHeight w:val="300"/>
        </w:trPr>
        <w:tc>
          <w:tcPr>
            <w:tcW w:w="2127" w:type="dxa"/>
            <w:tcBorders>
              <w:top w:val="nil"/>
              <w:left w:val="nil"/>
              <w:bottom w:val="nil"/>
              <w:right w:val="nil"/>
            </w:tcBorders>
            <w:noWrap/>
            <w:vAlign w:val="center"/>
            <w:hideMark/>
          </w:tcPr>
          <w:p w14:paraId="246599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12001:2013-02</w:t>
            </w:r>
          </w:p>
        </w:tc>
        <w:tc>
          <w:tcPr>
            <w:tcW w:w="7512" w:type="dxa"/>
            <w:tcBorders>
              <w:top w:val="nil"/>
              <w:left w:val="nil"/>
              <w:bottom w:val="nil"/>
              <w:right w:val="nil"/>
            </w:tcBorders>
            <w:vAlign w:val="center"/>
            <w:hideMark/>
          </w:tcPr>
          <w:p w14:paraId="68CDCED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Maszyny do transportu, natrysku i rozprowadzania mieszanki betonowej i zapraw - Wymagania bezpieczeństwa</w:t>
            </w:r>
          </w:p>
        </w:tc>
      </w:tr>
      <w:tr w:rsidR="00282AE9" w:rsidRPr="00282AE9" w14:paraId="5DF7E04A" w14:textId="77777777" w:rsidTr="00282AE9">
        <w:trPr>
          <w:trHeight w:val="600"/>
        </w:trPr>
        <w:tc>
          <w:tcPr>
            <w:tcW w:w="2127" w:type="dxa"/>
            <w:tcBorders>
              <w:top w:val="nil"/>
              <w:left w:val="nil"/>
              <w:bottom w:val="nil"/>
              <w:right w:val="nil"/>
            </w:tcBorders>
            <w:noWrap/>
            <w:vAlign w:val="center"/>
            <w:hideMark/>
          </w:tcPr>
          <w:p w14:paraId="3E94218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12188:2001</w:t>
            </w:r>
          </w:p>
        </w:tc>
        <w:tc>
          <w:tcPr>
            <w:tcW w:w="7512" w:type="dxa"/>
            <w:tcBorders>
              <w:top w:val="nil"/>
              <w:left w:val="nil"/>
              <w:bottom w:val="nil"/>
              <w:right w:val="nil"/>
            </w:tcBorders>
            <w:vAlign w:val="center"/>
            <w:hideMark/>
          </w:tcPr>
          <w:p w14:paraId="53D643E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połączenia stali ze stalą w celu określenia właściwości konstrukcyjnych materiałów klejących</w:t>
            </w:r>
          </w:p>
        </w:tc>
      </w:tr>
      <w:tr w:rsidR="00282AE9" w:rsidRPr="00282AE9" w14:paraId="4B3324D6" w14:textId="77777777" w:rsidTr="00282AE9">
        <w:trPr>
          <w:trHeight w:val="300"/>
        </w:trPr>
        <w:tc>
          <w:tcPr>
            <w:tcW w:w="2127" w:type="dxa"/>
            <w:tcBorders>
              <w:top w:val="nil"/>
              <w:left w:val="nil"/>
              <w:bottom w:val="nil"/>
              <w:right w:val="nil"/>
            </w:tcBorders>
            <w:noWrap/>
            <w:vAlign w:val="center"/>
            <w:hideMark/>
          </w:tcPr>
          <w:p w14:paraId="09645BE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12189:2000</w:t>
            </w:r>
          </w:p>
        </w:tc>
        <w:tc>
          <w:tcPr>
            <w:tcW w:w="7512" w:type="dxa"/>
            <w:tcBorders>
              <w:top w:val="nil"/>
              <w:left w:val="nil"/>
              <w:bottom w:val="nil"/>
              <w:right w:val="nil"/>
            </w:tcBorders>
            <w:vAlign w:val="center"/>
            <w:hideMark/>
          </w:tcPr>
          <w:p w14:paraId="6A25E79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czasu przydatności do użycia</w:t>
            </w:r>
          </w:p>
        </w:tc>
      </w:tr>
      <w:tr w:rsidR="00282AE9" w:rsidRPr="00282AE9" w14:paraId="34C57D56" w14:textId="77777777" w:rsidTr="00282AE9">
        <w:trPr>
          <w:trHeight w:val="300"/>
        </w:trPr>
        <w:tc>
          <w:tcPr>
            <w:tcW w:w="2127" w:type="dxa"/>
            <w:tcBorders>
              <w:top w:val="nil"/>
              <w:left w:val="nil"/>
              <w:bottom w:val="nil"/>
              <w:right w:val="nil"/>
            </w:tcBorders>
            <w:noWrap/>
            <w:vAlign w:val="center"/>
            <w:hideMark/>
          </w:tcPr>
          <w:p w14:paraId="0419056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12190:2000</w:t>
            </w:r>
          </w:p>
        </w:tc>
        <w:tc>
          <w:tcPr>
            <w:tcW w:w="7512" w:type="dxa"/>
            <w:tcBorders>
              <w:top w:val="nil"/>
              <w:left w:val="nil"/>
              <w:bottom w:val="nil"/>
              <w:right w:val="nil"/>
            </w:tcBorders>
            <w:vAlign w:val="center"/>
            <w:hideMark/>
          </w:tcPr>
          <w:p w14:paraId="4EF1FEB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wytrzymałości na ściskanie zaprawy naprawczej</w:t>
            </w:r>
          </w:p>
        </w:tc>
      </w:tr>
      <w:tr w:rsidR="00282AE9" w:rsidRPr="00282AE9" w14:paraId="1FA060A7" w14:textId="77777777" w:rsidTr="00282AE9">
        <w:trPr>
          <w:trHeight w:val="300"/>
        </w:trPr>
        <w:tc>
          <w:tcPr>
            <w:tcW w:w="2127" w:type="dxa"/>
            <w:tcBorders>
              <w:top w:val="nil"/>
              <w:left w:val="nil"/>
              <w:bottom w:val="nil"/>
              <w:right w:val="nil"/>
            </w:tcBorders>
            <w:noWrap/>
            <w:vAlign w:val="center"/>
            <w:hideMark/>
          </w:tcPr>
          <w:p w14:paraId="1766115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12192-1:2004</w:t>
            </w:r>
          </w:p>
        </w:tc>
        <w:tc>
          <w:tcPr>
            <w:tcW w:w="7512" w:type="dxa"/>
            <w:tcBorders>
              <w:top w:val="nil"/>
              <w:left w:val="nil"/>
              <w:bottom w:val="nil"/>
              <w:right w:val="nil"/>
            </w:tcBorders>
            <w:vAlign w:val="center"/>
            <w:hideMark/>
          </w:tcPr>
          <w:p w14:paraId="41B3892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Analiza sitowa - Część 1: Metoda badania suchych składników gotowych zapraw</w:t>
            </w:r>
          </w:p>
        </w:tc>
      </w:tr>
      <w:tr w:rsidR="00282AE9" w:rsidRPr="00282AE9" w14:paraId="6B843D5C" w14:textId="77777777" w:rsidTr="00282AE9">
        <w:trPr>
          <w:trHeight w:val="300"/>
        </w:trPr>
        <w:tc>
          <w:tcPr>
            <w:tcW w:w="2127" w:type="dxa"/>
            <w:tcBorders>
              <w:top w:val="nil"/>
              <w:left w:val="nil"/>
              <w:bottom w:val="nil"/>
              <w:right w:val="nil"/>
            </w:tcBorders>
            <w:noWrap/>
            <w:vAlign w:val="center"/>
            <w:hideMark/>
          </w:tcPr>
          <w:p w14:paraId="66A899D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12192-2:2002</w:t>
            </w:r>
          </w:p>
        </w:tc>
        <w:tc>
          <w:tcPr>
            <w:tcW w:w="7512" w:type="dxa"/>
            <w:tcBorders>
              <w:top w:val="nil"/>
              <w:left w:val="nil"/>
              <w:bottom w:val="nil"/>
              <w:right w:val="nil"/>
            </w:tcBorders>
            <w:vAlign w:val="center"/>
            <w:hideMark/>
          </w:tcPr>
          <w:p w14:paraId="6D22CFA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dotyczące ochrony i naprawy konstrukcji betonowych - Analiza sitowa - Część 2: Metoda badania wypełniaczy do spoiw polimerowych</w:t>
            </w:r>
          </w:p>
        </w:tc>
      </w:tr>
      <w:tr w:rsidR="00282AE9" w:rsidRPr="00282AE9" w14:paraId="2F7C1365" w14:textId="77777777" w:rsidTr="00282AE9">
        <w:trPr>
          <w:trHeight w:val="300"/>
        </w:trPr>
        <w:tc>
          <w:tcPr>
            <w:tcW w:w="2127" w:type="dxa"/>
            <w:tcBorders>
              <w:top w:val="nil"/>
              <w:left w:val="nil"/>
              <w:bottom w:val="nil"/>
              <w:right w:val="nil"/>
            </w:tcBorders>
            <w:noWrap/>
            <w:vAlign w:val="center"/>
            <w:hideMark/>
          </w:tcPr>
          <w:p w14:paraId="4B32E59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12269-1:2002</w:t>
            </w:r>
          </w:p>
        </w:tc>
        <w:tc>
          <w:tcPr>
            <w:tcW w:w="7512" w:type="dxa"/>
            <w:tcBorders>
              <w:top w:val="nil"/>
              <w:left w:val="nil"/>
              <w:bottom w:val="nil"/>
              <w:right w:val="nil"/>
            </w:tcBorders>
            <w:vAlign w:val="center"/>
            <w:hideMark/>
          </w:tcPr>
          <w:p w14:paraId="7A9E8C5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Oznaczanie przyczepności między stalą zbrojeniową a autoklawizowanym </w:t>
            </w:r>
            <w:r w:rsidRPr="00282AE9">
              <w:rPr>
                <w:rFonts w:eastAsia="Times New Roman" w:cs="Calibri"/>
                <w:color w:val="000000"/>
                <w:lang w:eastAsia="pl-PL"/>
              </w:rPr>
              <w:lastRenderedPageBreak/>
              <w:t>betonem komórkowym metodą "badania belki" - Część 1: Badanie krótkotrwałe</w:t>
            </w:r>
          </w:p>
        </w:tc>
      </w:tr>
      <w:tr w:rsidR="00282AE9" w:rsidRPr="00282AE9" w14:paraId="3F9370C7" w14:textId="77777777" w:rsidTr="00282AE9">
        <w:trPr>
          <w:trHeight w:val="300"/>
        </w:trPr>
        <w:tc>
          <w:tcPr>
            <w:tcW w:w="2127" w:type="dxa"/>
            <w:tcBorders>
              <w:top w:val="nil"/>
              <w:left w:val="nil"/>
              <w:bottom w:val="nil"/>
              <w:right w:val="nil"/>
            </w:tcBorders>
            <w:noWrap/>
            <w:vAlign w:val="center"/>
            <w:hideMark/>
          </w:tcPr>
          <w:p w14:paraId="4600DF5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12269-2:2010</w:t>
            </w:r>
          </w:p>
        </w:tc>
        <w:tc>
          <w:tcPr>
            <w:tcW w:w="7512" w:type="dxa"/>
            <w:tcBorders>
              <w:top w:val="nil"/>
              <w:left w:val="nil"/>
              <w:bottom w:val="nil"/>
              <w:right w:val="nil"/>
            </w:tcBorders>
            <w:vAlign w:val="center"/>
            <w:hideMark/>
          </w:tcPr>
          <w:p w14:paraId="2A84B15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przyczepności między stalą zbrojeniową a autoklawizowanym betonem komórkowym metodą badania belki - Część 2: Badanie długotrwałe</w:t>
            </w:r>
          </w:p>
        </w:tc>
      </w:tr>
      <w:tr w:rsidR="00282AE9" w:rsidRPr="00282AE9" w14:paraId="2B57D727" w14:textId="77777777" w:rsidTr="00282AE9">
        <w:trPr>
          <w:trHeight w:val="300"/>
        </w:trPr>
        <w:tc>
          <w:tcPr>
            <w:tcW w:w="2127" w:type="dxa"/>
            <w:tcBorders>
              <w:top w:val="nil"/>
              <w:left w:val="nil"/>
              <w:bottom w:val="nil"/>
              <w:right w:val="nil"/>
            </w:tcBorders>
            <w:noWrap/>
            <w:vAlign w:val="center"/>
            <w:hideMark/>
          </w:tcPr>
          <w:p w14:paraId="165A61E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12350-10:2012</w:t>
            </w:r>
          </w:p>
        </w:tc>
        <w:tc>
          <w:tcPr>
            <w:tcW w:w="7512" w:type="dxa"/>
            <w:tcBorders>
              <w:top w:val="nil"/>
              <w:left w:val="nil"/>
              <w:bottom w:val="nil"/>
              <w:right w:val="nil"/>
            </w:tcBorders>
            <w:vAlign w:val="center"/>
            <w:hideMark/>
          </w:tcPr>
          <w:p w14:paraId="246AAC1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10: Beton </w:t>
            </w:r>
            <w:proofErr w:type="spellStart"/>
            <w:r w:rsidRPr="00282AE9">
              <w:rPr>
                <w:rFonts w:eastAsia="Times New Roman" w:cs="Calibri"/>
                <w:color w:val="000000"/>
                <w:lang w:eastAsia="pl-PL"/>
              </w:rPr>
              <w:t>samozagęszczalny</w:t>
            </w:r>
            <w:proofErr w:type="spellEnd"/>
            <w:r w:rsidRPr="00282AE9">
              <w:rPr>
                <w:rFonts w:eastAsia="Times New Roman" w:cs="Calibri"/>
                <w:color w:val="000000"/>
                <w:lang w:eastAsia="pl-PL"/>
              </w:rPr>
              <w:t xml:space="preserve"> - Badanie metodą L-pojemnika</w:t>
            </w:r>
          </w:p>
        </w:tc>
      </w:tr>
      <w:tr w:rsidR="00282AE9" w:rsidRPr="00282AE9" w14:paraId="728A5846" w14:textId="77777777" w:rsidTr="00282AE9">
        <w:trPr>
          <w:trHeight w:val="300"/>
        </w:trPr>
        <w:tc>
          <w:tcPr>
            <w:tcW w:w="2127" w:type="dxa"/>
            <w:tcBorders>
              <w:top w:val="nil"/>
              <w:left w:val="nil"/>
              <w:bottom w:val="nil"/>
              <w:right w:val="nil"/>
            </w:tcBorders>
            <w:noWrap/>
            <w:vAlign w:val="center"/>
            <w:hideMark/>
          </w:tcPr>
          <w:p w14:paraId="63E5B7E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12350-11:2012</w:t>
            </w:r>
          </w:p>
        </w:tc>
        <w:tc>
          <w:tcPr>
            <w:tcW w:w="7512" w:type="dxa"/>
            <w:tcBorders>
              <w:top w:val="nil"/>
              <w:left w:val="nil"/>
              <w:bottom w:val="nil"/>
              <w:right w:val="nil"/>
            </w:tcBorders>
            <w:vAlign w:val="center"/>
            <w:hideMark/>
          </w:tcPr>
          <w:p w14:paraId="7ECBFBD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11: Beton </w:t>
            </w:r>
            <w:proofErr w:type="spellStart"/>
            <w:r w:rsidRPr="00282AE9">
              <w:rPr>
                <w:rFonts w:eastAsia="Times New Roman" w:cs="Calibri"/>
                <w:color w:val="000000"/>
                <w:lang w:eastAsia="pl-PL"/>
              </w:rPr>
              <w:t>samozagęszczalny</w:t>
            </w:r>
            <w:proofErr w:type="spellEnd"/>
            <w:r w:rsidRPr="00282AE9">
              <w:rPr>
                <w:rFonts w:eastAsia="Times New Roman" w:cs="Calibri"/>
                <w:color w:val="000000"/>
                <w:lang w:eastAsia="pl-PL"/>
              </w:rPr>
              <w:t xml:space="preserve"> - Badanie segregacji sitowej</w:t>
            </w:r>
          </w:p>
        </w:tc>
      </w:tr>
      <w:tr w:rsidR="00282AE9" w:rsidRPr="00282AE9" w14:paraId="22A7CE01" w14:textId="77777777" w:rsidTr="00282AE9">
        <w:trPr>
          <w:trHeight w:val="300"/>
        </w:trPr>
        <w:tc>
          <w:tcPr>
            <w:tcW w:w="2127" w:type="dxa"/>
            <w:tcBorders>
              <w:top w:val="nil"/>
              <w:left w:val="nil"/>
              <w:bottom w:val="nil"/>
              <w:right w:val="nil"/>
            </w:tcBorders>
            <w:noWrap/>
            <w:vAlign w:val="center"/>
            <w:hideMark/>
          </w:tcPr>
          <w:p w14:paraId="406973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12350-12:2012</w:t>
            </w:r>
          </w:p>
        </w:tc>
        <w:tc>
          <w:tcPr>
            <w:tcW w:w="7512" w:type="dxa"/>
            <w:tcBorders>
              <w:top w:val="nil"/>
              <w:left w:val="nil"/>
              <w:bottom w:val="nil"/>
              <w:right w:val="nil"/>
            </w:tcBorders>
            <w:vAlign w:val="center"/>
            <w:hideMark/>
          </w:tcPr>
          <w:p w14:paraId="28821D3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12: Beton </w:t>
            </w:r>
            <w:proofErr w:type="spellStart"/>
            <w:r w:rsidRPr="00282AE9">
              <w:rPr>
                <w:rFonts w:eastAsia="Times New Roman" w:cs="Calibri"/>
                <w:color w:val="000000"/>
                <w:lang w:eastAsia="pl-PL"/>
              </w:rPr>
              <w:t>samozagęszczalny</w:t>
            </w:r>
            <w:proofErr w:type="spellEnd"/>
            <w:r w:rsidRPr="00282AE9">
              <w:rPr>
                <w:rFonts w:eastAsia="Times New Roman" w:cs="Calibri"/>
                <w:color w:val="000000"/>
                <w:lang w:eastAsia="pl-PL"/>
              </w:rPr>
              <w:t xml:space="preserve"> - Badanie metodą J-pierścienia</w:t>
            </w:r>
          </w:p>
        </w:tc>
      </w:tr>
      <w:tr w:rsidR="00282AE9" w:rsidRPr="00282AE9" w14:paraId="22EE59F9" w14:textId="77777777" w:rsidTr="00282AE9">
        <w:trPr>
          <w:trHeight w:val="300"/>
        </w:trPr>
        <w:tc>
          <w:tcPr>
            <w:tcW w:w="2127" w:type="dxa"/>
            <w:tcBorders>
              <w:top w:val="nil"/>
              <w:left w:val="nil"/>
              <w:bottom w:val="nil"/>
              <w:right w:val="nil"/>
            </w:tcBorders>
            <w:noWrap/>
            <w:vAlign w:val="center"/>
            <w:hideMark/>
          </w:tcPr>
          <w:p w14:paraId="1A96BBF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12350-1:2019-07</w:t>
            </w:r>
          </w:p>
        </w:tc>
        <w:tc>
          <w:tcPr>
            <w:tcW w:w="7512" w:type="dxa"/>
            <w:tcBorders>
              <w:top w:val="nil"/>
              <w:left w:val="nil"/>
              <w:bottom w:val="nil"/>
              <w:right w:val="nil"/>
            </w:tcBorders>
            <w:vAlign w:val="center"/>
            <w:hideMark/>
          </w:tcPr>
          <w:p w14:paraId="23B647D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mieszanki betonowej - Część 1: Pobieranie próbek i uniwersalna aparatura</w:t>
            </w:r>
          </w:p>
        </w:tc>
      </w:tr>
      <w:tr w:rsidR="00282AE9" w:rsidRPr="00282AE9" w14:paraId="0FD6F9E5" w14:textId="77777777" w:rsidTr="00282AE9">
        <w:trPr>
          <w:trHeight w:val="300"/>
        </w:trPr>
        <w:tc>
          <w:tcPr>
            <w:tcW w:w="2127" w:type="dxa"/>
            <w:tcBorders>
              <w:top w:val="nil"/>
              <w:left w:val="nil"/>
              <w:bottom w:val="nil"/>
              <w:right w:val="nil"/>
            </w:tcBorders>
            <w:noWrap/>
            <w:vAlign w:val="center"/>
            <w:hideMark/>
          </w:tcPr>
          <w:p w14:paraId="2CFE63A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12350-2:2019-07</w:t>
            </w:r>
          </w:p>
        </w:tc>
        <w:tc>
          <w:tcPr>
            <w:tcW w:w="7512" w:type="dxa"/>
            <w:tcBorders>
              <w:top w:val="nil"/>
              <w:left w:val="nil"/>
              <w:bottom w:val="nil"/>
              <w:right w:val="nil"/>
            </w:tcBorders>
            <w:vAlign w:val="center"/>
            <w:hideMark/>
          </w:tcPr>
          <w:p w14:paraId="3641A80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mieszanki betonowej - Część 2: Badanie konsystencji metodą opadu stożka</w:t>
            </w:r>
          </w:p>
        </w:tc>
      </w:tr>
      <w:tr w:rsidR="00282AE9" w:rsidRPr="00282AE9" w14:paraId="60B52DE3" w14:textId="77777777" w:rsidTr="00282AE9">
        <w:trPr>
          <w:trHeight w:val="300"/>
        </w:trPr>
        <w:tc>
          <w:tcPr>
            <w:tcW w:w="2127" w:type="dxa"/>
            <w:tcBorders>
              <w:top w:val="nil"/>
              <w:left w:val="nil"/>
              <w:bottom w:val="nil"/>
              <w:right w:val="nil"/>
            </w:tcBorders>
            <w:noWrap/>
            <w:vAlign w:val="center"/>
            <w:hideMark/>
          </w:tcPr>
          <w:p w14:paraId="453D7D4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12350-3:2019-07</w:t>
            </w:r>
          </w:p>
        </w:tc>
        <w:tc>
          <w:tcPr>
            <w:tcW w:w="7512" w:type="dxa"/>
            <w:tcBorders>
              <w:top w:val="nil"/>
              <w:left w:val="nil"/>
              <w:bottom w:val="nil"/>
              <w:right w:val="nil"/>
            </w:tcBorders>
            <w:vAlign w:val="center"/>
            <w:hideMark/>
          </w:tcPr>
          <w:p w14:paraId="62FB609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3: Badania konsystencji metodą </w:t>
            </w:r>
            <w:proofErr w:type="spellStart"/>
            <w:r w:rsidRPr="00282AE9">
              <w:rPr>
                <w:rFonts w:eastAsia="Times New Roman" w:cs="Calibri"/>
                <w:color w:val="000000"/>
                <w:lang w:eastAsia="pl-PL"/>
              </w:rPr>
              <w:t>Vebe</w:t>
            </w:r>
            <w:proofErr w:type="spellEnd"/>
          </w:p>
        </w:tc>
      </w:tr>
      <w:tr w:rsidR="00282AE9" w:rsidRPr="00282AE9" w14:paraId="4D05B7D2" w14:textId="77777777" w:rsidTr="00282AE9">
        <w:trPr>
          <w:trHeight w:val="300"/>
        </w:trPr>
        <w:tc>
          <w:tcPr>
            <w:tcW w:w="2127" w:type="dxa"/>
            <w:tcBorders>
              <w:top w:val="nil"/>
              <w:left w:val="nil"/>
              <w:bottom w:val="nil"/>
              <w:right w:val="nil"/>
            </w:tcBorders>
            <w:noWrap/>
            <w:vAlign w:val="center"/>
            <w:hideMark/>
          </w:tcPr>
          <w:p w14:paraId="21AE3DA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12350-4:2019-08</w:t>
            </w:r>
          </w:p>
        </w:tc>
        <w:tc>
          <w:tcPr>
            <w:tcW w:w="7512" w:type="dxa"/>
            <w:tcBorders>
              <w:top w:val="nil"/>
              <w:left w:val="nil"/>
              <w:bottom w:val="nil"/>
              <w:right w:val="nil"/>
            </w:tcBorders>
            <w:vAlign w:val="center"/>
            <w:hideMark/>
          </w:tcPr>
          <w:p w14:paraId="3480D20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4: Badanie konsystencji metodą oznaczania stopnia </w:t>
            </w:r>
            <w:proofErr w:type="spellStart"/>
            <w:r w:rsidRPr="00282AE9">
              <w:rPr>
                <w:rFonts w:eastAsia="Times New Roman" w:cs="Calibri"/>
                <w:color w:val="000000"/>
                <w:lang w:eastAsia="pl-PL"/>
              </w:rPr>
              <w:t>zagęszczalności</w:t>
            </w:r>
            <w:proofErr w:type="spellEnd"/>
          </w:p>
        </w:tc>
      </w:tr>
      <w:tr w:rsidR="00282AE9" w:rsidRPr="00282AE9" w14:paraId="6B3AA743" w14:textId="77777777" w:rsidTr="00282AE9">
        <w:trPr>
          <w:trHeight w:val="300"/>
        </w:trPr>
        <w:tc>
          <w:tcPr>
            <w:tcW w:w="2127" w:type="dxa"/>
            <w:tcBorders>
              <w:top w:val="nil"/>
              <w:left w:val="nil"/>
              <w:bottom w:val="nil"/>
              <w:right w:val="nil"/>
            </w:tcBorders>
            <w:noWrap/>
            <w:vAlign w:val="center"/>
            <w:hideMark/>
          </w:tcPr>
          <w:p w14:paraId="6F69E15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12350-5:2019-08</w:t>
            </w:r>
          </w:p>
        </w:tc>
        <w:tc>
          <w:tcPr>
            <w:tcW w:w="7512" w:type="dxa"/>
            <w:tcBorders>
              <w:top w:val="nil"/>
              <w:left w:val="nil"/>
              <w:bottom w:val="nil"/>
              <w:right w:val="nil"/>
            </w:tcBorders>
            <w:vAlign w:val="center"/>
            <w:hideMark/>
          </w:tcPr>
          <w:p w14:paraId="4BF759B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mieszanki betonowej - Część 5: Badanie konsystencji metodą stolika rozpływowego</w:t>
            </w:r>
          </w:p>
        </w:tc>
      </w:tr>
      <w:tr w:rsidR="00282AE9" w:rsidRPr="00282AE9" w14:paraId="5E416909" w14:textId="77777777" w:rsidTr="00282AE9">
        <w:trPr>
          <w:trHeight w:val="300"/>
        </w:trPr>
        <w:tc>
          <w:tcPr>
            <w:tcW w:w="2127" w:type="dxa"/>
            <w:tcBorders>
              <w:top w:val="nil"/>
              <w:left w:val="nil"/>
              <w:bottom w:val="nil"/>
              <w:right w:val="nil"/>
            </w:tcBorders>
            <w:noWrap/>
            <w:vAlign w:val="center"/>
            <w:hideMark/>
          </w:tcPr>
          <w:p w14:paraId="442F9BF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12350-6:2019-08</w:t>
            </w:r>
          </w:p>
        </w:tc>
        <w:tc>
          <w:tcPr>
            <w:tcW w:w="7512" w:type="dxa"/>
            <w:tcBorders>
              <w:top w:val="nil"/>
              <w:left w:val="nil"/>
              <w:bottom w:val="nil"/>
              <w:right w:val="nil"/>
            </w:tcBorders>
            <w:vAlign w:val="center"/>
            <w:hideMark/>
          </w:tcPr>
          <w:p w14:paraId="7180336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mieszanki betonowej - Część 6: Gęstość</w:t>
            </w:r>
          </w:p>
        </w:tc>
      </w:tr>
      <w:tr w:rsidR="00282AE9" w:rsidRPr="00282AE9" w14:paraId="2FEA7E1D" w14:textId="77777777" w:rsidTr="00282AE9">
        <w:trPr>
          <w:trHeight w:val="300"/>
        </w:trPr>
        <w:tc>
          <w:tcPr>
            <w:tcW w:w="2127" w:type="dxa"/>
            <w:tcBorders>
              <w:top w:val="nil"/>
              <w:left w:val="nil"/>
              <w:bottom w:val="nil"/>
              <w:right w:val="nil"/>
            </w:tcBorders>
            <w:noWrap/>
            <w:vAlign w:val="center"/>
            <w:hideMark/>
          </w:tcPr>
          <w:p w14:paraId="0E675E1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12350-7:2019-08</w:t>
            </w:r>
          </w:p>
        </w:tc>
        <w:tc>
          <w:tcPr>
            <w:tcW w:w="7512" w:type="dxa"/>
            <w:tcBorders>
              <w:top w:val="nil"/>
              <w:left w:val="nil"/>
              <w:bottom w:val="nil"/>
              <w:right w:val="nil"/>
            </w:tcBorders>
            <w:vAlign w:val="center"/>
            <w:hideMark/>
          </w:tcPr>
          <w:p w14:paraId="2E91F18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mieszanki betonowej - Część 7: Badanie zawartości powietrza - Metody ciśnieniowe</w:t>
            </w:r>
          </w:p>
        </w:tc>
      </w:tr>
      <w:tr w:rsidR="00282AE9" w:rsidRPr="00282AE9" w14:paraId="36B9FF71" w14:textId="77777777" w:rsidTr="00282AE9">
        <w:trPr>
          <w:trHeight w:val="300"/>
        </w:trPr>
        <w:tc>
          <w:tcPr>
            <w:tcW w:w="2127" w:type="dxa"/>
            <w:tcBorders>
              <w:top w:val="nil"/>
              <w:left w:val="nil"/>
              <w:bottom w:val="nil"/>
              <w:right w:val="nil"/>
            </w:tcBorders>
            <w:noWrap/>
            <w:vAlign w:val="center"/>
            <w:hideMark/>
          </w:tcPr>
          <w:p w14:paraId="51F4E45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12350-8:2019-08</w:t>
            </w:r>
          </w:p>
        </w:tc>
        <w:tc>
          <w:tcPr>
            <w:tcW w:w="7512" w:type="dxa"/>
            <w:tcBorders>
              <w:top w:val="nil"/>
              <w:left w:val="nil"/>
              <w:bottom w:val="nil"/>
              <w:right w:val="nil"/>
            </w:tcBorders>
            <w:vAlign w:val="center"/>
            <w:hideMark/>
          </w:tcPr>
          <w:p w14:paraId="3AE9CF1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8: Beton </w:t>
            </w:r>
            <w:proofErr w:type="spellStart"/>
            <w:r w:rsidRPr="00282AE9">
              <w:rPr>
                <w:rFonts w:eastAsia="Times New Roman" w:cs="Calibri"/>
                <w:color w:val="000000"/>
                <w:lang w:eastAsia="pl-PL"/>
              </w:rPr>
              <w:t>samozagęszczalny</w:t>
            </w:r>
            <w:proofErr w:type="spellEnd"/>
            <w:r w:rsidRPr="00282AE9">
              <w:rPr>
                <w:rFonts w:eastAsia="Times New Roman" w:cs="Calibri"/>
                <w:color w:val="000000"/>
                <w:lang w:eastAsia="pl-PL"/>
              </w:rPr>
              <w:t xml:space="preserve"> - Badanie konsystencji metodą rozpływu stożka</w:t>
            </w:r>
          </w:p>
        </w:tc>
      </w:tr>
      <w:tr w:rsidR="00282AE9" w:rsidRPr="00282AE9" w14:paraId="52249DDC" w14:textId="77777777" w:rsidTr="00282AE9">
        <w:trPr>
          <w:trHeight w:val="300"/>
        </w:trPr>
        <w:tc>
          <w:tcPr>
            <w:tcW w:w="2127" w:type="dxa"/>
            <w:tcBorders>
              <w:top w:val="nil"/>
              <w:left w:val="nil"/>
              <w:bottom w:val="nil"/>
              <w:right w:val="nil"/>
            </w:tcBorders>
            <w:noWrap/>
            <w:vAlign w:val="center"/>
            <w:hideMark/>
          </w:tcPr>
          <w:p w14:paraId="18896F5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12350-9:2012</w:t>
            </w:r>
          </w:p>
        </w:tc>
        <w:tc>
          <w:tcPr>
            <w:tcW w:w="7512" w:type="dxa"/>
            <w:tcBorders>
              <w:top w:val="nil"/>
              <w:left w:val="nil"/>
              <w:bottom w:val="nil"/>
              <w:right w:val="nil"/>
            </w:tcBorders>
            <w:vAlign w:val="center"/>
            <w:hideMark/>
          </w:tcPr>
          <w:p w14:paraId="6B8115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mieszanki betonowej - Część 9: Beton </w:t>
            </w:r>
            <w:proofErr w:type="spellStart"/>
            <w:r w:rsidRPr="00282AE9">
              <w:rPr>
                <w:rFonts w:eastAsia="Times New Roman" w:cs="Calibri"/>
                <w:color w:val="000000"/>
                <w:lang w:eastAsia="pl-PL"/>
              </w:rPr>
              <w:t>samozagęszczalny</w:t>
            </w:r>
            <w:proofErr w:type="spellEnd"/>
            <w:r w:rsidRPr="00282AE9">
              <w:rPr>
                <w:rFonts w:eastAsia="Times New Roman" w:cs="Calibri"/>
                <w:color w:val="000000"/>
                <w:lang w:eastAsia="pl-PL"/>
              </w:rPr>
              <w:t xml:space="preserve"> - Badanie metodą V-lejka</w:t>
            </w:r>
          </w:p>
        </w:tc>
      </w:tr>
      <w:tr w:rsidR="00282AE9" w:rsidRPr="00282AE9" w14:paraId="296EB6AC" w14:textId="77777777" w:rsidTr="00282AE9">
        <w:trPr>
          <w:trHeight w:val="300"/>
        </w:trPr>
        <w:tc>
          <w:tcPr>
            <w:tcW w:w="2127" w:type="dxa"/>
            <w:tcBorders>
              <w:top w:val="nil"/>
              <w:left w:val="nil"/>
              <w:bottom w:val="nil"/>
              <w:right w:val="nil"/>
            </w:tcBorders>
            <w:noWrap/>
            <w:vAlign w:val="center"/>
            <w:hideMark/>
          </w:tcPr>
          <w:p w14:paraId="61C8E07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12390-10:2019-02</w:t>
            </w:r>
          </w:p>
        </w:tc>
        <w:tc>
          <w:tcPr>
            <w:tcW w:w="7512" w:type="dxa"/>
            <w:tcBorders>
              <w:top w:val="nil"/>
              <w:left w:val="nil"/>
              <w:bottom w:val="nil"/>
              <w:right w:val="nil"/>
            </w:tcBorders>
            <w:vAlign w:val="center"/>
            <w:hideMark/>
          </w:tcPr>
          <w:p w14:paraId="7257B2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10: Oznaczanie odporności betonu na karbonatyzację w warunkach stężeń dwutlenku węgla na poziomie atmosferycznym</w:t>
            </w:r>
          </w:p>
        </w:tc>
      </w:tr>
      <w:tr w:rsidR="00282AE9" w:rsidRPr="00282AE9" w14:paraId="0521F651" w14:textId="77777777" w:rsidTr="00282AE9">
        <w:trPr>
          <w:trHeight w:val="300"/>
        </w:trPr>
        <w:tc>
          <w:tcPr>
            <w:tcW w:w="2127" w:type="dxa"/>
            <w:tcBorders>
              <w:top w:val="nil"/>
              <w:left w:val="nil"/>
              <w:bottom w:val="nil"/>
              <w:right w:val="nil"/>
            </w:tcBorders>
            <w:noWrap/>
            <w:vAlign w:val="center"/>
            <w:hideMark/>
          </w:tcPr>
          <w:p w14:paraId="1762A8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12390-11:2015-09</w:t>
            </w:r>
          </w:p>
        </w:tc>
        <w:tc>
          <w:tcPr>
            <w:tcW w:w="7512" w:type="dxa"/>
            <w:tcBorders>
              <w:top w:val="nil"/>
              <w:left w:val="nil"/>
              <w:bottom w:val="nil"/>
              <w:right w:val="nil"/>
            </w:tcBorders>
            <w:vAlign w:val="center"/>
            <w:hideMark/>
          </w:tcPr>
          <w:p w14:paraId="3EF62CD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11: Oznaczanie odporności betonu na wnikanie chlorków w warunkach jednokierunkowej dyfuzji</w:t>
            </w:r>
          </w:p>
        </w:tc>
      </w:tr>
      <w:tr w:rsidR="00282AE9" w:rsidRPr="00282AE9" w14:paraId="14B65C9C" w14:textId="77777777" w:rsidTr="00282AE9">
        <w:trPr>
          <w:trHeight w:val="300"/>
        </w:trPr>
        <w:tc>
          <w:tcPr>
            <w:tcW w:w="2127" w:type="dxa"/>
            <w:tcBorders>
              <w:top w:val="nil"/>
              <w:left w:val="nil"/>
              <w:bottom w:val="nil"/>
              <w:right w:val="nil"/>
            </w:tcBorders>
            <w:noWrap/>
            <w:vAlign w:val="center"/>
            <w:hideMark/>
          </w:tcPr>
          <w:p w14:paraId="02F3313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12390-12:2020-06</w:t>
            </w:r>
          </w:p>
        </w:tc>
        <w:tc>
          <w:tcPr>
            <w:tcW w:w="7512" w:type="dxa"/>
            <w:tcBorders>
              <w:top w:val="nil"/>
              <w:left w:val="nil"/>
              <w:bottom w:val="nil"/>
              <w:right w:val="nil"/>
            </w:tcBorders>
            <w:vAlign w:val="center"/>
            <w:hideMark/>
          </w:tcPr>
          <w:p w14:paraId="46B479E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12: Oznaczanie odporności betonu na karbonatyzację - Przyspieszona metoda karbonatyzacji</w:t>
            </w:r>
          </w:p>
        </w:tc>
      </w:tr>
      <w:tr w:rsidR="00282AE9" w:rsidRPr="00282AE9" w14:paraId="323DC0E1" w14:textId="77777777" w:rsidTr="00282AE9">
        <w:trPr>
          <w:trHeight w:val="300"/>
        </w:trPr>
        <w:tc>
          <w:tcPr>
            <w:tcW w:w="2127" w:type="dxa"/>
            <w:tcBorders>
              <w:top w:val="nil"/>
              <w:left w:val="nil"/>
              <w:bottom w:val="nil"/>
              <w:right w:val="nil"/>
            </w:tcBorders>
            <w:noWrap/>
            <w:vAlign w:val="center"/>
            <w:hideMark/>
          </w:tcPr>
          <w:p w14:paraId="330B792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12390-13:2021-12</w:t>
            </w:r>
          </w:p>
        </w:tc>
        <w:tc>
          <w:tcPr>
            <w:tcW w:w="7512" w:type="dxa"/>
            <w:tcBorders>
              <w:top w:val="nil"/>
              <w:left w:val="nil"/>
              <w:bottom w:val="nil"/>
              <w:right w:val="nil"/>
            </w:tcBorders>
            <w:vAlign w:val="center"/>
            <w:hideMark/>
          </w:tcPr>
          <w:p w14:paraId="5A34AF8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13: Wyznaczanie siecznego modułu sprężystości przy ściskaniu</w:t>
            </w:r>
          </w:p>
        </w:tc>
      </w:tr>
      <w:tr w:rsidR="00282AE9" w:rsidRPr="00282AE9" w14:paraId="03CB31E4" w14:textId="77777777" w:rsidTr="00282AE9">
        <w:trPr>
          <w:trHeight w:val="300"/>
        </w:trPr>
        <w:tc>
          <w:tcPr>
            <w:tcW w:w="2127" w:type="dxa"/>
            <w:tcBorders>
              <w:top w:val="nil"/>
              <w:left w:val="nil"/>
              <w:bottom w:val="nil"/>
              <w:right w:val="nil"/>
            </w:tcBorders>
            <w:noWrap/>
            <w:vAlign w:val="center"/>
            <w:hideMark/>
          </w:tcPr>
          <w:p w14:paraId="061D497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12390-14:2018-10</w:t>
            </w:r>
          </w:p>
        </w:tc>
        <w:tc>
          <w:tcPr>
            <w:tcW w:w="7512" w:type="dxa"/>
            <w:tcBorders>
              <w:top w:val="nil"/>
              <w:left w:val="nil"/>
              <w:bottom w:val="nil"/>
              <w:right w:val="nil"/>
            </w:tcBorders>
            <w:vAlign w:val="center"/>
            <w:hideMark/>
          </w:tcPr>
          <w:p w14:paraId="2C98FA6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Badania betonu - Część 14: </w:t>
            </w:r>
            <w:proofErr w:type="spellStart"/>
            <w:r w:rsidRPr="00282AE9">
              <w:rPr>
                <w:rFonts w:eastAsia="Times New Roman" w:cs="Calibri"/>
                <w:color w:val="000000"/>
                <w:lang w:eastAsia="pl-PL"/>
              </w:rPr>
              <w:t>Semi</w:t>
            </w:r>
            <w:proofErr w:type="spellEnd"/>
            <w:r w:rsidRPr="00282AE9">
              <w:rPr>
                <w:rFonts w:eastAsia="Times New Roman" w:cs="Calibri"/>
                <w:color w:val="000000"/>
                <w:lang w:eastAsia="pl-PL"/>
              </w:rPr>
              <w:t>-adiabatyczna metoda oznaczania ciepła wydzielanego podczas procesu twardnienia betonu</w:t>
            </w:r>
          </w:p>
        </w:tc>
      </w:tr>
      <w:tr w:rsidR="00282AE9" w:rsidRPr="00282AE9" w14:paraId="09DCF121" w14:textId="77777777" w:rsidTr="00282AE9">
        <w:trPr>
          <w:trHeight w:val="300"/>
        </w:trPr>
        <w:tc>
          <w:tcPr>
            <w:tcW w:w="2127" w:type="dxa"/>
            <w:tcBorders>
              <w:top w:val="nil"/>
              <w:left w:val="nil"/>
              <w:bottom w:val="nil"/>
              <w:right w:val="nil"/>
            </w:tcBorders>
            <w:noWrap/>
            <w:vAlign w:val="center"/>
            <w:hideMark/>
          </w:tcPr>
          <w:p w14:paraId="25459D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12390-15:2019-11</w:t>
            </w:r>
          </w:p>
        </w:tc>
        <w:tc>
          <w:tcPr>
            <w:tcW w:w="7512" w:type="dxa"/>
            <w:tcBorders>
              <w:top w:val="nil"/>
              <w:left w:val="nil"/>
              <w:bottom w:val="nil"/>
              <w:right w:val="nil"/>
            </w:tcBorders>
            <w:vAlign w:val="center"/>
            <w:hideMark/>
          </w:tcPr>
          <w:p w14:paraId="7ABB98A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15: Adiabatyczna metoda oznaczania ciepła wydzielanego podczas procesu twardnienia betonu</w:t>
            </w:r>
          </w:p>
        </w:tc>
      </w:tr>
      <w:tr w:rsidR="00282AE9" w:rsidRPr="00282AE9" w14:paraId="611FD444" w14:textId="77777777" w:rsidTr="00282AE9">
        <w:trPr>
          <w:trHeight w:val="300"/>
        </w:trPr>
        <w:tc>
          <w:tcPr>
            <w:tcW w:w="2127" w:type="dxa"/>
            <w:tcBorders>
              <w:top w:val="nil"/>
              <w:left w:val="nil"/>
              <w:bottom w:val="nil"/>
              <w:right w:val="nil"/>
            </w:tcBorders>
            <w:noWrap/>
            <w:vAlign w:val="center"/>
            <w:hideMark/>
          </w:tcPr>
          <w:p w14:paraId="7C1B2F2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12390-16:2020-03</w:t>
            </w:r>
          </w:p>
        </w:tc>
        <w:tc>
          <w:tcPr>
            <w:tcW w:w="7512" w:type="dxa"/>
            <w:tcBorders>
              <w:top w:val="nil"/>
              <w:left w:val="nil"/>
              <w:bottom w:val="nil"/>
              <w:right w:val="nil"/>
            </w:tcBorders>
            <w:vAlign w:val="center"/>
            <w:hideMark/>
          </w:tcPr>
          <w:p w14:paraId="39ED56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16: Oznaczanie skurczu betonu</w:t>
            </w:r>
          </w:p>
        </w:tc>
      </w:tr>
      <w:tr w:rsidR="00282AE9" w:rsidRPr="00282AE9" w14:paraId="548031B2" w14:textId="77777777" w:rsidTr="00282AE9">
        <w:trPr>
          <w:trHeight w:val="300"/>
        </w:trPr>
        <w:tc>
          <w:tcPr>
            <w:tcW w:w="2127" w:type="dxa"/>
            <w:tcBorders>
              <w:top w:val="nil"/>
              <w:left w:val="nil"/>
              <w:bottom w:val="nil"/>
              <w:right w:val="nil"/>
            </w:tcBorders>
            <w:noWrap/>
            <w:vAlign w:val="center"/>
            <w:hideMark/>
          </w:tcPr>
          <w:p w14:paraId="1D1F26B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12390-17:2020-03</w:t>
            </w:r>
          </w:p>
        </w:tc>
        <w:tc>
          <w:tcPr>
            <w:tcW w:w="7512" w:type="dxa"/>
            <w:tcBorders>
              <w:top w:val="nil"/>
              <w:left w:val="nil"/>
              <w:bottom w:val="nil"/>
              <w:right w:val="nil"/>
            </w:tcBorders>
            <w:vAlign w:val="center"/>
            <w:hideMark/>
          </w:tcPr>
          <w:p w14:paraId="4F1E32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17: Oznaczanie pełzania betonu przy ściskaniu</w:t>
            </w:r>
          </w:p>
        </w:tc>
      </w:tr>
      <w:tr w:rsidR="00282AE9" w:rsidRPr="00282AE9" w14:paraId="284AEA78" w14:textId="77777777" w:rsidTr="00282AE9">
        <w:trPr>
          <w:trHeight w:val="300"/>
        </w:trPr>
        <w:tc>
          <w:tcPr>
            <w:tcW w:w="2127" w:type="dxa"/>
            <w:tcBorders>
              <w:top w:val="nil"/>
              <w:left w:val="nil"/>
              <w:bottom w:val="nil"/>
              <w:right w:val="nil"/>
            </w:tcBorders>
            <w:noWrap/>
            <w:vAlign w:val="center"/>
            <w:hideMark/>
          </w:tcPr>
          <w:p w14:paraId="54FF4D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12390-18:2021-08</w:t>
            </w:r>
          </w:p>
        </w:tc>
        <w:tc>
          <w:tcPr>
            <w:tcW w:w="7512" w:type="dxa"/>
            <w:tcBorders>
              <w:top w:val="nil"/>
              <w:left w:val="nil"/>
              <w:bottom w:val="nil"/>
              <w:right w:val="nil"/>
            </w:tcBorders>
            <w:vAlign w:val="center"/>
            <w:hideMark/>
          </w:tcPr>
          <w:p w14:paraId="6158D75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Cześć 18: Oznaczanie współczynnika migracji chlorków</w:t>
            </w:r>
          </w:p>
        </w:tc>
      </w:tr>
      <w:tr w:rsidR="00282AE9" w:rsidRPr="00282AE9" w14:paraId="1361228B" w14:textId="77777777" w:rsidTr="00282AE9">
        <w:trPr>
          <w:trHeight w:val="300"/>
        </w:trPr>
        <w:tc>
          <w:tcPr>
            <w:tcW w:w="2127" w:type="dxa"/>
            <w:tcBorders>
              <w:top w:val="nil"/>
              <w:left w:val="nil"/>
              <w:bottom w:val="nil"/>
              <w:right w:val="nil"/>
            </w:tcBorders>
            <w:noWrap/>
            <w:vAlign w:val="center"/>
            <w:hideMark/>
          </w:tcPr>
          <w:p w14:paraId="5D11D5B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12390-1:2021-12</w:t>
            </w:r>
          </w:p>
        </w:tc>
        <w:tc>
          <w:tcPr>
            <w:tcW w:w="7512" w:type="dxa"/>
            <w:tcBorders>
              <w:top w:val="nil"/>
              <w:left w:val="nil"/>
              <w:bottom w:val="nil"/>
              <w:right w:val="nil"/>
            </w:tcBorders>
            <w:vAlign w:val="center"/>
            <w:hideMark/>
          </w:tcPr>
          <w:p w14:paraId="104071F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1: Kształt, wymiary i inne wymagania dotyczące próbek do badań i form</w:t>
            </w:r>
          </w:p>
        </w:tc>
      </w:tr>
      <w:tr w:rsidR="00282AE9" w:rsidRPr="00282AE9" w14:paraId="3C57E7EB" w14:textId="77777777" w:rsidTr="00282AE9">
        <w:trPr>
          <w:trHeight w:val="300"/>
        </w:trPr>
        <w:tc>
          <w:tcPr>
            <w:tcW w:w="2127" w:type="dxa"/>
            <w:tcBorders>
              <w:top w:val="nil"/>
              <w:left w:val="nil"/>
              <w:bottom w:val="nil"/>
              <w:right w:val="nil"/>
            </w:tcBorders>
            <w:noWrap/>
            <w:vAlign w:val="center"/>
            <w:hideMark/>
          </w:tcPr>
          <w:p w14:paraId="1076F41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12390-2:2019-07</w:t>
            </w:r>
          </w:p>
        </w:tc>
        <w:tc>
          <w:tcPr>
            <w:tcW w:w="7512" w:type="dxa"/>
            <w:tcBorders>
              <w:top w:val="nil"/>
              <w:left w:val="nil"/>
              <w:bottom w:val="nil"/>
              <w:right w:val="nil"/>
            </w:tcBorders>
            <w:vAlign w:val="center"/>
            <w:hideMark/>
          </w:tcPr>
          <w:p w14:paraId="3E7F7FD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2: Wykonywanie i pielęgnacja próbek do badań wytrzymałościowych</w:t>
            </w:r>
          </w:p>
        </w:tc>
      </w:tr>
      <w:tr w:rsidR="00282AE9" w:rsidRPr="00282AE9" w14:paraId="2A4743E2" w14:textId="77777777" w:rsidTr="00282AE9">
        <w:trPr>
          <w:trHeight w:val="300"/>
        </w:trPr>
        <w:tc>
          <w:tcPr>
            <w:tcW w:w="2127" w:type="dxa"/>
            <w:tcBorders>
              <w:top w:val="nil"/>
              <w:left w:val="nil"/>
              <w:bottom w:val="nil"/>
              <w:right w:val="nil"/>
            </w:tcBorders>
            <w:noWrap/>
            <w:vAlign w:val="center"/>
            <w:hideMark/>
          </w:tcPr>
          <w:p w14:paraId="1368FE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12390-3:2019-07</w:t>
            </w:r>
          </w:p>
        </w:tc>
        <w:tc>
          <w:tcPr>
            <w:tcW w:w="7512" w:type="dxa"/>
            <w:tcBorders>
              <w:top w:val="nil"/>
              <w:left w:val="nil"/>
              <w:bottom w:val="nil"/>
              <w:right w:val="nil"/>
            </w:tcBorders>
            <w:vAlign w:val="center"/>
            <w:hideMark/>
          </w:tcPr>
          <w:p w14:paraId="3DF9914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3: Wytrzymałość na ściskanie próbek do badań</w:t>
            </w:r>
          </w:p>
        </w:tc>
      </w:tr>
      <w:tr w:rsidR="00282AE9" w:rsidRPr="00282AE9" w14:paraId="55DB3518" w14:textId="77777777" w:rsidTr="00282AE9">
        <w:trPr>
          <w:trHeight w:val="300"/>
        </w:trPr>
        <w:tc>
          <w:tcPr>
            <w:tcW w:w="2127" w:type="dxa"/>
            <w:tcBorders>
              <w:top w:val="nil"/>
              <w:left w:val="nil"/>
              <w:bottom w:val="nil"/>
              <w:right w:val="nil"/>
            </w:tcBorders>
            <w:noWrap/>
            <w:vAlign w:val="center"/>
            <w:hideMark/>
          </w:tcPr>
          <w:p w14:paraId="0B040EF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12390-4:2020-03</w:t>
            </w:r>
          </w:p>
        </w:tc>
        <w:tc>
          <w:tcPr>
            <w:tcW w:w="7512" w:type="dxa"/>
            <w:tcBorders>
              <w:top w:val="nil"/>
              <w:left w:val="nil"/>
              <w:bottom w:val="nil"/>
              <w:right w:val="nil"/>
            </w:tcBorders>
            <w:vAlign w:val="center"/>
            <w:hideMark/>
          </w:tcPr>
          <w:p w14:paraId="35BE053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4: Wytrzymałość na ściskanie - Wymagania dla maszyn wytrzymałościowych</w:t>
            </w:r>
          </w:p>
        </w:tc>
      </w:tr>
      <w:tr w:rsidR="00282AE9" w:rsidRPr="00282AE9" w14:paraId="63E4C61E" w14:textId="77777777" w:rsidTr="00282AE9">
        <w:trPr>
          <w:trHeight w:val="300"/>
        </w:trPr>
        <w:tc>
          <w:tcPr>
            <w:tcW w:w="2127" w:type="dxa"/>
            <w:tcBorders>
              <w:top w:val="nil"/>
              <w:left w:val="nil"/>
              <w:bottom w:val="nil"/>
              <w:right w:val="nil"/>
            </w:tcBorders>
            <w:noWrap/>
            <w:vAlign w:val="center"/>
            <w:hideMark/>
          </w:tcPr>
          <w:p w14:paraId="5590CE4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12390-5:2019-08</w:t>
            </w:r>
          </w:p>
        </w:tc>
        <w:tc>
          <w:tcPr>
            <w:tcW w:w="7512" w:type="dxa"/>
            <w:tcBorders>
              <w:top w:val="nil"/>
              <w:left w:val="nil"/>
              <w:bottom w:val="nil"/>
              <w:right w:val="nil"/>
            </w:tcBorders>
            <w:vAlign w:val="center"/>
            <w:hideMark/>
          </w:tcPr>
          <w:p w14:paraId="2F47787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5: Wytrzymałość na zginanie próbek do badań</w:t>
            </w:r>
          </w:p>
        </w:tc>
      </w:tr>
      <w:tr w:rsidR="00282AE9" w:rsidRPr="00282AE9" w14:paraId="28FC81FE" w14:textId="77777777" w:rsidTr="00282AE9">
        <w:trPr>
          <w:trHeight w:val="300"/>
        </w:trPr>
        <w:tc>
          <w:tcPr>
            <w:tcW w:w="2127" w:type="dxa"/>
            <w:tcBorders>
              <w:top w:val="nil"/>
              <w:left w:val="nil"/>
              <w:bottom w:val="nil"/>
              <w:right w:val="nil"/>
            </w:tcBorders>
            <w:noWrap/>
            <w:vAlign w:val="center"/>
            <w:hideMark/>
          </w:tcPr>
          <w:p w14:paraId="5A914D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12390-6:2011</w:t>
            </w:r>
          </w:p>
        </w:tc>
        <w:tc>
          <w:tcPr>
            <w:tcW w:w="7512" w:type="dxa"/>
            <w:tcBorders>
              <w:top w:val="nil"/>
              <w:left w:val="nil"/>
              <w:bottom w:val="nil"/>
              <w:right w:val="nil"/>
            </w:tcBorders>
            <w:vAlign w:val="center"/>
            <w:hideMark/>
          </w:tcPr>
          <w:p w14:paraId="1361C62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6: Wytrzymałość na rozciąganie przy rozłupywaniu próbek do badań</w:t>
            </w:r>
          </w:p>
        </w:tc>
      </w:tr>
      <w:tr w:rsidR="00282AE9" w:rsidRPr="00282AE9" w14:paraId="0CCFCF43" w14:textId="77777777" w:rsidTr="00282AE9">
        <w:trPr>
          <w:trHeight w:val="300"/>
        </w:trPr>
        <w:tc>
          <w:tcPr>
            <w:tcW w:w="2127" w:type="dxa"/>
            <w:tcBorders>
              <w:top w:val="nil"/>
              <w:left w:val="nil"/>
              <w:bottom w:val="nil"/>
              <w:right w:val="nil"/>
            </w:tcBorders>
            <w:noWrap/>
            <w:vAlign w:val="center"/>
            <w:hideMark/>
          </w:tcPr>
          <w:p w14:paraId="7A13B85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12390-7:2019-08</w:t>
            </w:r>
          </w:p>
        </w:tc>
        <w:tc>
          <w:tcPr>
            <w:tcW w:w="7512" w:type="dxa"/>
            <w:tcBorders>
              <w:top w:val="nil"/>
              <w:left w:val="nil"/>
              <w:bottom w:val="nil"/>
              <w:right w:val="nil"/>
            </w:tcBorders>
            <w:vAlign w:val="center"/>
            <w:hideMark/>
          </w:tcPr>
          <w:p w14:paraId="61942EA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7: Gęstość betonu</w:t>
            </w:r>
          </w:p>
        </w:tc>
      </w:tr>
      <w:tr w:rsidR="00282AE9" w:rsidRPr="00282AE9" w14:paraId="67356A7C" w14:textId="77777777" w:rsidTr="00282AE9">
        <w:trPr>
          <w:trHeight w:val="300"/>
        </w:trPr>
        <w:tc>
          <w:tcPr>
            <w:tcW w:w="2127" w:type="dxa"/>
            <w:tcBorders>
              <w:top w:val="nil"/>
              <w:left w:val="nil"/>
              <w:bottom w:val="nil"/>
              <w:right w:val="nil"/>
            </w:tcBorders>
            <w:noWrap/>
            <w:vAlign w:val="center"/>
            <w:hideMark/>
          </w:tcPr>
          <w:p w14:paraId="1B4EEF1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12390-8:2019-08</w:t>
            </w:r>
          </w:p>
        </w:tc>
        <w:tc>
          <w:tcPr>
            <w:tcW w:w="7512" w:type="dxa"/>
            <w:tcBorders>
              <w:top w:val="nil"/>
              <w:left w:val="nil"/>
              <w:bottom w:val="nil"/>
              <w:right w:val="nil"/>
            </w:tcBorders>
            <w:vAlign w:val="center"/>
            <w:hideMark/>
          </w:tcPr>
          <w:p w14:paraId="3E37369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 Część 8: Głębokość penetracji wody pod ciśnieniem</w:t>
            </w:r>
          </w:p>
        </w:tc>
      </w:tr>
      <w:tr w:rsidR="00282AE9" w:rsidRPr="00282AE9" w14:paraId="5C285FA5" w14:textId="77777777" w:rsidTr="00282AE9">
        <w:trPr>
          <w:trHeight w:val="300"/>
        </w:trPr>
        <w:tc>
          <w:tcPr>
            <w:tcW w:w="2127" w:type="dxa"/>
            <w:tcBorders>
              <w:top w:val="nil"/>
              <w:left w:val="nil"/>
              <w:bottom w:val="nil"/>
              <w:right w:val="nil"/>
            </w:tcBorders>
            <w:noWrap/>
            <w:vAlign w:val="center"/>
            <w:hideMark/>
          </w:tcPr>
          <w:p w14:paraId="0743030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12504-1:2019-08</w:t>
            </w:r>
          </w:p>
        </w:tc>
        <w:tc>
          <w:tcPr>
            <w:tcW w:w="7512" w:type="dxa"/>
            <w:tcBorders>
              <w:top w:val="nil"/>
              <w:left w:val="nil"/>
              <w:bottom w:val="nil"/>
              <w:right w:val="nil"/>
            </w:tcBorders>
            <w:vAlign w:val="center"/>
            <w:hideMark/>
          </w:tcPr>
          <w:p w14:paraId="30D7A6D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w konstrukcjach - Część 1: Próbki rdzeniowe - Pobieranie, ocena i badanie wytrzymałości na ściskanie</w:t>
            </w:r>
          </w:p>
        </w:tc>
      </w:tr>
      <w:tr w:rsidR="00282AE9" w:rsidRPr="00282AE9" w14:paraId="0D30EA85" w14:textId="77777777" w:rsidTr="00282AE9">
        <w:trPr>
          <w:trHeight w:val="300"/>
        </w:trPr>
        <w:tc>
          <w:tcPr>
            <w:tcW w:w="2127" w:type="dxa"/>
            <w:tcBorders>
              <w:top w:val="nil"/>
              <w:left w:val="nil"/>
              <w:bottom w:val="nil"/>
              <w:right w:val="nil"/>
            </w:tcBorders>
            <w:noWrap/>
            <w:vAlign w:val="center"/>
            <w:hideMark/>
          </w:tcPr>
          <w:p w14:paraId="13EA191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12504-2:2021-12</w:t>
            </w:r>
          </w:p>
        </w:tc>
        <w:tc>
          <w:tcPr>
            <w:tcW w:w="7512" w:type="dxa"/>
            <w:tcBorders>
              <w:top w:val="nil"/>
              <w:left w:val="nil"/>
              <w:bottom w:val="nil"/>
              <w:right w:val="nil"/>
            </w:tcBorders>
            <w:vAlign w:val="center"/>
            <w:hideMark/>
          </w:tcPr>
          <w:p w14:paraId="16D1E45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w konstrukcjach - Część 2: Badanie nieniszczące - Oznaczanie liczby odbicia</w:t>
            </w:r>
          </w:p>
        </w:tc>
      </w:tr>
      <w:tr w:rsidR="00282AE9" w:rsidRPr="00282AE9" w14:paraId="3E200643" w14:textId="77777777" w:rsidTr="00282AE9">
        <w:trPr>
          <w:trHeight w:val="300"/>
        </w:trPr>
        <w:tc>
          <w:tcPr>
            <w:tcW w:w="2127" w:type="dxa"/>
            <w:tcBorders>
              <w:top w:val="nil"/>
              <w:left w:val="nil"/>
              <w:bottom w:val="nil"/>
              <w:right w:val="nil"/>
            </w:tcBorders>
            <w:noWrap/>
            <w:vAlign w:val="center"/>
            <w:hideMark/>
          </w:tcPr>
          <w:p w14:paraId="28A1A3C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12504-3:2006</w:t>
            </w:r>
          </w:p>
        </w:tc>
        <w:tc>
          <w:tcPr>
            <w:tcW w:w="7512" w:type="dxa"/>
            <w:tcBorders>
              <w:top w:val="nil"/>
              <w:left w:val="nil"/>
              <w:bottom w:val="nil"/>
              <w:right w:val="nil"/>
            </w:tcBorders>
            <w:vAlign w:val="center"/>
            <w:hideMark/>
          </w:tcPr>
          <w:p w14:paraId="5C15746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w konstrukcjach - Część 3: Oznaczanie siły wyrywającej</w:t>
            </w:r>
          </w:p>
        </w:tc>
      </w:tr>
      <w:tr w:rsidR="00282AE9" w:rsidRPr="00282AE9" w14:paraId="0E43AC04" w14:textId="77777777" w:rsidTr="00282AE9">
        <w:trPr>
          <w:trHeight w:val="300"/>
        </w:trPr>
        <w:tc>
          <w:tcPr>
            <w:tcW w:w="2127" w:type="dxa"/>
            <w:tcBorders>
              <w:top w:val="nil"/>
              <w:left w:val="nil"/>
              <w:bottom w:val="nil"/>
              <w:right w:val="nil"/>
            </w:tcBorders>
            <w:noWrap/>
            <w:vAlign w:val="center"/>
            <w:hideMark/>
          </w:tcPr>
          <w:p w14:paraId="6D9D069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12504-4:2021-12</w:t>
            </w:r>
          </w:p>
        </w:tc>
        <w:tc>
          <w:tcPr>
            <w:tcW w:w="7512" w:type="dxa"/>
            <w:tcBorders>
              <w:top w:val="nil"/>
              <w:left w:val="nil"/>
              <w:bottom w:val="nil"/>
              <w:right w:val="nil"/>
            </w:tcBorders>
            <w:vAlign w:val="center"/>
            <w:hideMark/>
          </w:tcPr>
          <w:p w14:paraId="3C11B46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betonu w konstrukcjach - Część 4: Oznaczanie prędkości fali ultradźwiękowej</w:t>
            </w:r>
          </w:p>
        </w:tc>
      </w:tr>
      <w:tr w:rsidR="00282AE9" w:rsidRPr="00282AE9" w14:paraId="67C55F4B" w14:textId="77777777" w:rsidTr="00282AE9">
        <w:trPr>
          <w:trHeight w:val="300"/>
        </w:trPr>
        <w:tc>
          <w:tcPr>
            <w:tcW w:w="2127" w:type="dxa"/>
            <w:tcBorders>
              <w:top w:val="nil"/>
              <w:left w:val="nil"/>
              <w:bottom w:val="nil"/>
              <w:right w:val="nil"/>
            </w:tcBorders>
            <w:noWrap/>
            <w:vAlign w:val="center"/>
            <w:hideMark/>
          </w:tcPr>
          <w:p w14:paraId="552AD6F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12602:2016-11</w:t>
            </w:r>
          </w:p>
        </w:tc>
        <w:tc>
          <w:tcPr>
            <w:tcW w:w="7512" w:type="dxa"/>
            <w:tcBorders>
              <w:top w:val="nil"/>
              <w:left w:val="nil"/>
              <w:bottom w:val="nil"/>
              <w:right w:val="nil"/>
            </w:tcBorders>
            <w:vAlign w:val="center"/>
            <w:hideMark/>
          </w:tcPr>
          <w:p w14:paraId="6784ABF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Prefabrykowane elementy zbrojone z autoklawizowanego betonu komórkowego</w:t>
            </w:r>
          </w:p>
        </w:tc>
      </w:tr>
      <w:tr w:rsidR="00282AE9" w:rsidRPr="00282AE9" w14:paraId="03FDA0D9" w14:textId="77777777" w:rsidTr="00282AE9">
        <w:trPr>
          <w:trHeight w:val="300"/>
        </w:trPr>
        <w:tc>
          <w:tcPr>
            <w:tcW w:w="2127" w:type="dxa"/>
            <w:tcBorders>
              <w:top w:val="nil"/>
              <w:left w:val="nil"/>
              <w:bottom w:val="nil"/>
              <w:right w:val="nil"/>
            </w:tcBorders>
            <w:noWrap/>
            <w:vAlign w:val="center"/>
            <w:hideMark/>
          </w:tcPr>
          <w:p w14:paraId="19E5AE2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12614:2005</w:t>
            </w:r>
          </w:p>
        </w:tc>
        <w:tc>
          <w:tcPr>
            <w:tcW w:w="7512" w:type="dxa"/>
            <w:tcBorders>
              <w:top w:val="nil"/>
              <w:left w:val="nil"/>
              <w:bottom w:val="nil"/>
              <w:right w:val="nil"/>
            </w:tcBorders>
            <w:vAlign w:val="center"/>
            <w:hideMark/>
          </w:tcPr>
          <w:p w14:paraId="1B576D0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temperatury zeszklenia polimerów</w:t>
            </w:r>
          </w:p>
        </w:tc>
      </w:tr>
      <w:tr w:rsidR="00282AE9" w:rsidRPr="00282AE9" w14:paraId="1015CE4D" w14:textId="77777777" w:rsidTr="00282AE9">
        <w:trPr>
          <w:trHeight w:val="300"/>
        </w:trPr>
        <w:tc>
          <w:tcPr>
            <w:tcW w:w="2127" w:type="dxa"/>
            <w:tcBorders>
              <w:top w:val="nil"/>
              <w:left w:val="nil"/>
              <w:bottom w:val="nil"/>
              <w:right w:val="nil"/>
            </w:tcBorders>
            <w:noWrap/>
            <w:vAlign w:val="center"/>
            <w:hideMark/>
          </w:tcPr>
          <w:p w14:paraId="3410645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12615:2000</w:t>
            </w:r>
          </w:p>
        </w:tc>
        <w:tc>
          <w:tcPr>
            <w:tcW w:w="7512" w:type="dxa"/>
            <w:tcBorders>
              <w:top w:val="nil"/>
              <w:left w:val="nil"/>
              <w:bottom w:val="nil"/>
              <w:right w:val="nil"/>
            </w:tcBorders>
            <w:vAlign w:val="center"/>
            <w:hideMark/>
          </w:tcPr>
          <w:p w14:paraId="73E76B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wytrzymałości na ścinanie</w:t>
            </w:r>
          </w:p>
        </w:tc>
      </w:tr>
      <w:tr w:rsidR="00282AE9" w:rsidRPr="00282AE9" w14:paraId="0AE6A1DD" w14:textId="77777777" w:rsidTr="00282AE9">
        <w:trPr>
          <w:trHeight w:val="300"/>
        </w:trPr>
        <w:tc>
          <w:tcPr>
            <w:tcW w:w="2127" w:type="dxa"/>
            <w:tcBorders>
              <w:top w:val="nil"/>
              <w:left w:val="nil"/>
              <w:bottom w:val="nil"/>
              <w:right w:val="nil"/>
            </w:tcBorders>
            <w:noWrap/>
            <w:vAlign w:val="center"/>
            <w:hideMark/>
          </w:tcPr>
          <w:p w14:paraId="2F981DF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12617-1:2004</w:t>
            </w:r>
          </w:p>
        </w:tc>
        <w:tc>
          <w:tcPr>
            <w:tcW w:w="7512" w:type="dxa"/>
            <w:tcBorders>
              <w:top w:val="nil"/>
              <w:left w:val="nil"/>
              <w:bottom w:val="nil"/>
              <w:right w:val="nil"/>
            </w:tcBorders>
            <w:vAlign w:val="center"/>
            <w:hideMark/>
          </w:tcPr>
          <w:p w14:paraId="79C1625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1: Oznaczanie skurczu liniowego polimerów i systemów zabezpieczeń powierzchniowych (SPS)</w:t>
            </w:r>
          </w:p>
        </w:tc>
      </w:tr>
      <w:tr w:rsidR="00282AE9" w:rsidRPr="00282AE9" w14:paraId="0CCB6B44" w14:textId="77777777" w:rsidTr="00282AE9">
        <w:trPr>
          <w:trHeight w:val="300"/>
        </w:trPr>
        <w:tc>
          <w:tcPr>
            <w:tcW w:w="2127" w:type="dxa"/>
            <w:tcBorders>
              <w:top w:val="nil"/>
              <w:left w:val="nil"/>
              <w:bottom w:val="nil"/>
              <w:right w:val="nil"/>
            </w:tcBorders>
            <w:noWrap/>
            <w:vAlign w:val="center"/>
            <w:hideMark/>
          </w:tcPr>
          <w:p w14:paraId="4CDC514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12617-2:2005</w:t>
            </w:r>
          </w:p>
        </w:tc>
        <w:tc>
          <w:tcPr>
            <w:tcW w:w="7512" w:type="dxa"/>
            <w:tcBorders>
              <w:top w:val="nil"/>
              <w:left w:val="nil"/>
              <w:bottom w:val="nil"/>
              <w:right w:val="nil"/>
            </w:tcBorders>
            <w:vAlign w:val="center"/>
            <w:hideMark/>
          </w:tcPr>
          <w:p w14:paraId="3B281C1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2: Rysy skurczowe polimerowych wyrobów iniekcyjnych: skurcz objętościowy</w:t>
            </w:r>
          </w:p>
        </w:tc>
      </w:tr>
      <w:tr w:rsidR="00282AE9" w:rsidRPr="00282AE9" w14:paraId="7846F66C" w14:textId="77777777" w:rsidTr="00282AE9">
        <w:trPr>
          <w:trHeight w:val="300"/>
        </w:trPr>
        <w:tc>
          <w:tcPr>
            <w:tcW w:w="2127" w:type="dxa"/>
            <w:tcBorders>
              <w:top w:val="nil"/>
              <w:left w:val="nil"/>
              <w:bottom w:val="nil"/>
              <w:right w:val="nil"/>
            </w:tcBorders>
            <w:noWrap/>
            <w:vAlign w:val="center"/>
            <w:hideMark/>
          </w:tcPr>
          <w:p w14:paraId="72DEC44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12617-3:2004</w:t>
            </w:r>
          </w:p>
        </w:tc>
        <w:tc>
          <w:tcPr>
            <w:tcW w:w="7512" w:type="dxa"/>
            <w:tcBorders>
              <w:top w:val="nil"/>
              <w:left w:val="nil"/>
              <w:bottom w:val="nil"/>
              <w:right w:val="nil"/>
            </w:tcBorders>
            <w:vAlign w:val="center"/>
            <w:hideMark/>
          </w:tcPr>
          <w:p w14:paraId="671DAB7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3: Oznaczanie wczesnego skurczu liniowego konstrukcyjnych materiałów klejących</w:t>
            </w:r>
          </w:p>
        </w:tc>
      </w:tr>
      <w:tr w:rsidR="00282AE9" w:rsidRPr="00282AE9" w14:paraId="657AAA63" w14:textId="77777777" w:rsidTr="00282AE9">
        <w:trPr>
          <w:trHeight w:val="300"/>
        </w:trPr>
        <w:tc>
          <w:tcPr>
            <w:tcW w:w="2127" w:type="dxa"/>
            <w:tcBorders>
              <w:top w:val="nil"/>
              <w:left w:val="nil"/>
              <w:bottom w:val="nil"/>
              <w:right w:val="nil"/>
            </w:tcBorders>
            <w:noWrap/>
            <w:vAlign w:val="center"/>
            <w:hideMark/>
          </w:tcPr>
          <w:p w14:paraId="55688E6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12617-4:2004</w:t>
            </w:r>
          </w:p>
        </w:tc>
        <w:tc>
          <w:tcPr>
            <w:tcW w:w="7512" w:type="dxa"/>
            <w:tcBorders>
              <w:top w:val="nil"/>
              <w:left w:val="nil"/>
              <w:bottom w:val="nil"/>
              <w:right w:val="nil"/>
            </w:tcBorders>
            <w:vAlign w:val="center"/>
            <w:hideMark/>
          </w:tcPr>
          <w:p w14:paraId="272C31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4: Oznaczanie skurczu i wydłużenia</w:t>
            </w:r>
          </w:p>
        </w:tc>
      </w:tr>
      <w:tr w:rsidR="00282AE9" w:rsidRPr="00282AE9" w14:paraId="76568B79" w14:textId="77777777" w:rsidTr="00282AE9">
        <w:trPr>
          <w:trHeight w:val="300"/>
        </w:trPr>
        <w:tc>
          <w:tcPr>
            <w:tcW w:w="2127" w:type="dxa"/>
            <w:tcBorders>
              <w:top w:val="nil"/>
              <w:left w:val="nil"/>
              <w:bottom w:val="nil"/>
              <w:right w:val="nil"/>
            </w:tcBorders>
            <w:noWrap/>
            <w:vAlign w:val="center"/>
            <w:hideMark/>
          </w:tcPr>
          <w:p w14:paraId="2DE7916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12618-1:2004</w:t>
            </w:r>
          </w:p>
        </w:tc>
        <w:tc>
          <w:tcPr>
            <w:tcW w:w="7512" w:type="dxa"/>
            <w:tcBorders>
              <w:top w:val="nil"/>
              <w:left w:val="nil"/>
              <w:bottom w:val="nil"/>
              <w:right w:val="nil"/>
            </w:tcBorders>
            <w:vAlign w:val="center"/>
            <w:hideMark/>
          </w:tcPr>
          <w:p w14:paraId="27C2C6E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1: Przyczepność i wydłużalność stosowanych do iniekcji wyrobów o ograniczonej plastyczności</w:t>
            </w:r>
          </w:p>
        </w:tc>
      </w:tr>
      <w:tr w:rsidR="00282AE9" w:rsidRPr="00282AE9" w14:paraId="54CFA30D" w14:textId="77777777" w:rsidTr="00282AE9">
        <w:trPr>
          <w:trHeight w:val="600"/>
        </w:trPr>
        <w:tc>
          <w:tcPr>
            <w:tcW w:w="2127" w:type="dxa"/>
            <w:tcBorders>
              <w:top w:val="nil"/>
              <w:left w:val="nil"/>
              <w:bottom w:val="nil"/>
              <w:right w:val="nil"/>
            </w:tcBorders>
            <w:noWrap/>
            <w:vAlign w:val="center"/>
            <w:hideMark/>
          </w:tcPr>
          <w:p w14:paraId="71319A3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12618-2:2005</w:t>
            </w:r>
          </w:p>
        </w:tc>
        <w:tc>
          <w:tcPr>
            <w:tcW w:w="7512" w:type="dxa"/>
            <w:tcBorders>
              <w:top w:val="nil"/>
              <w:left w:val="nil"/>
              <w:bottom w:val="nil"/>
              <w:right w:val="nil"/>
            </w:tcBorders>
            <w:vAlign w:val="center"/>
            <w:hideMark/>
          </w:tcPr>
          <w:p w14:paraId="16F51FB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2: Oznaczanie przyczepności, z uwzględnieniem cyklu termicznego lub bez cyklu termicznego, wyrobów iniekcyjnych - Przyczepność oznaczana za pomocą oceny wytrzymałości spoiny na rozciąganie</w:t>
            </w:r>
          </w:p>
        </w:tc>
      </w:tr>
      <w:tr w:rsidR="00282AE9" w:rsidRPr="00282AE9" w14:paraId="50EDF49A" w14:textId="77777777" w:rsidTr="00282AE9">
        <w:trPr>
          <w:trHeight w:val="600"/>
        </w:trPr>
        <w:tc>
          <w:tcPr>
            <w:tcW w:w="2127" w:type="dxa"/>
            <w:tcBorders>
              <w:top w:val="nil"/>
              <w:left w:val="nil"/>
              <w:bottom w:val="nil"/>
              <w:right w:val="nil"/>
            </w:tcBorders>
            <w:noWrap/>
            <w:vAlign w:val="center"/>
            <w:hideMark/>
          </w:tcPr>
          <w:p w14:paraId="3CAEFA3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12618-3:2005</w:t>
            </w:r>
          </w:p>
        </w:tc>
        <w:tc>
          <w:tcPr>
            <w:tcW w:w="7512" w:type="dxa"/>
            <w:tcBorders>
              <w:top w:val="nil"/>
              <w:left w:val="nil"/>
              <w:bottom w:val="nil"/>
              <w:right w:val="nil"/>
            </w:tcBorders>
            <w:vAlign w:val="center"/>
            <w:hideMark/>
          </w:tcPr>
          <w:p w14:paraId="1FC12D2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Część 3: Oznaczanie przyczepności, z uwzględnieniem cyklu termicznego lub bez cyklu termicznego, wyrobów iniekcyjnych - Metoda oznaczania ścinania skośnego</w:t>
            </w:r>
          </w:p>
        </w:tc>
      </w:tr>
      <w:tr w:rsidR="00282AE9" w:rsidRPr="00282AE9" w14:paraId="33F15603" w14:textId="77777777" w:rsidTr="00282AE9">
        <w:trPr>
          <w:trHeight w:val="300"/>
        </w:trPr>
        <w:tc>
          <w:tcPr>
            <w:tcW w:w="2127" w:type="dxa"/>
            <w:tcBorders>
              <w:top w:val="nil"/>
              <w:left w:val="nil"/>
              <w:bottom w:val="nil"/>
              <w:right w:val="nil"/>
            </w:tcBorders>
            <w:noWrap/>
            <w:vAlign w:val="center"/>
            <w:hideMark/>
          </w:tcPr>
          <w:p w14:paraId="53CDA41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12620+A1:2010</w:t>
            </w:r>
          </w:p>
        </w:tc>
        <w:tc>
          <w:tcPr>
            <w:tcW w:w="7512" w:type="dxa"/>
            <w:tcBorders>
              <w:top w:val="nil"/>
              <w:left w:val="nil"/>
              <w:bottom w:val="nil"/>
              <w:right w:val="nil"/>
            </w:tcBorders>
            <w:vAlign w:val="center"/>
            <w:hideMark/>
          </w:tcPr>
          <w:p w14:paraId="131BFE2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Kruszywa do betonu</w:t>
            </w:r>
          </w:p>
        </w:tc>
      </w:tr>
      <w:tr w:rsidR="00282AE9" w:rsidRPr="00282AE9" w14:paraId="0AD14D43" w14:textId="77777777" w:rsidTr="00282AE9">
        <w:trPr>
          <w:trHeight w:val="300"/>
        </w:trPr>
        <w:tc>
          <w:tcPr>
            <w:tcW w:w="2127" w:type="dxa"/>
            <w:tcBorders>
              <w:top w:val="nil"/>
              <w:left w:val="nil"/>
              <w:bottom w:val="nil"/>
              <w:right w:val="nil"/>
            </w:tcBorders>
            <w:noWrap/>
            <w:vAlign w:val="center"/>
            <w:hideMark/>
          </w:tcPr>
          <w:p w14:paraId="4C7D8E0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12636:2001</w:t>
            </w:r>
          </w:p>
        </w:tc>
        <w:tc>
          <w:tcPr>
            <w:tcW w:w="7512" w:type="dxa"/>
            <w:tcBorders>
              <w:top w:val="nil"/>
              <w:left w:val="nil"/>
              <w:bottom w:val="nil"/>
              <w:right w:val="nil"/>
            </w:tcBorders>
            <w:vAlign w:val="center"/>
            <w:hideMark/>
          </w:tcPr>
          <w:p w14:paraId="07BD78D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przyczepności betonu do betonu</w:t>
            </w:r>
          </w:p>
        </w:tc>
      </w:tr>
      <w:tr w:rsidR="00282AE9" w:rsidRPr="00282AE9" w14:paraId="53C11281" w14:textId="77777777" w:rsidTr="00282AE9">
        <w:trPr>
          <w:trHeight w:val="300"/>
        </w:trPr>
        <w:tc>
          <w:tcPr>
            <w:tcW w:w="2127" w:type="dxa"/>
            <w:tcBorders>
              <w:top w:val="nil"/>
              <w:left w:val="nil"/>
              <w:bottom w:val="nil"/>
              <w:right w:val="nil"/>
            </w:tcBorders>
            <w:noWrap/>
            <w:vAlign w:val="center"/>
            <w:hideMark/>
          </w:tcPr>
          <w:p w14:paraId="1A8DBA9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12637-1:2008</w:t>
            </w:r>
          </w:p>
        </w:tc>
        <w:tc>
          <w:tcPr>
            <w:tcW w:w="7512" w:type="dxa"/>
            <w:tcBorders>
              <w:top w:val="nil"/>
              <w:left w:val="nil"/>
              <w:bottom w:val="nil"/>
              <w:right w:val="nil"/>
            </w:tcBorders>
            <w:vAlign w:val="center"/>
            <w:hideMark/>
          </w:tcPr>
          <w:p w14:paraId="4A3AFB2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Kompatybilność wyrobów iniekcyjnych - Część 1: Kompatybilność z betonem</w:t>
            </w:r>
          </w:p>
        </w:tc>
      </w:tr>
      <w:tr w:rsidR="00282AE9" w:rsidRPr="00282AE9" w14:paraId="7BD6C1D0" w14:textId="77777777" w:rsidTr="00282AE9">
        <w:trPr>
          <w:trHeight w:val="600"/>
        </w:trPr>
        <w:tc>
          <w:tcPr>
            <w:tcW w:w="2127" w:type="dxa"/>
            <w:tcBorders>
              <w:top w:val="nil"/>
              <w:left w:val="nil"/>
              <w:bottom w:val="nil"/>
              <w:right w:val="nil"/>
            </w:tcBorders>
            <w:noWrap/>
            <w:vAlign w:val="center"/>
            <w:hideMark/>
          </w:tcPr>
          <w:p w14:paraId="30EFBFD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12637-3:2004</w:t>
            </w:r>
          </w:p>
        </w:tc>
        <w:tc>
          <w:tcPr>
            <w:tcW w:w="7512" w:type="dxa"/>
            <w:tcBorders>
              <w:top w:val="nil"/>
              <w:left w:val="nil"/>
              <w:bottom w:val="nil"/>
              <w:right w:val="nil"/>
            </w:tcBorders>
            <w:vAlign w:val="center"/>
            <w:hideMark/>
          </w:tcPr>
          <w:p w14:paraId="789EB6C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Kompatybilność materiałów iniekcyjnych - Część 3: Oddziaływanie materiałów </w:t>
            </w:r>
            <w:r w:rsidRPr="00282AE9">
              <w:rPr>
                <w:rFonts w:eastAsia="Times New Roman" w:cs="Calibri"/>
                <w:color w:val="000000"/>
                <w:lang w:eastAsia="pl-PL"/>
              </w:rPr>
              <w:lastRenderedPageBreak/>
              <w:t>iniekcyjnych na elastomery</w:t>
            </w:r>
          </w:p>
        </w:tc>
      </w:tr>
      <w:tr w:rsidR="00282AE9" w:rsidRPr="00282AE9" w14:paraId="533BD7B4" w14:textId="77777777" w:rsidTr="00282AE9">
        <w:trPr>
          <w:trHeight w:val="300"/>
        </w:trPr>
        <w:tc>
          <w:tcPr>
            <w:tcW w:w="2127" w:type="dxa"/>
            <w:tcBorders>
              <w:top w:val="nil"/>
              <w:left w:val="nil"/>
              <w:bottom w:val="nil"/>
              <w:right w:val="nil"/>
            </w:tcBorders>
            <w:noWrap/>
            <w:vAlign w:val="center"/>
            <w:hideMark/>
          </w:tcPr>
          <w:p w14:paraId="78D63A6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12649+A1:2011</w:t>
            </w:r>
          </w:p>
        </w:tc>
        <w:tc>
          <w:tcPr>
            <w:tcW w:w="7512" w:type="dxa"/>
            <w:tcBorders>
              <w:top w:val="nil"/>
              <w:left w:val="nil"/>
              <w:bottom w:val="nil"/>
              <w:right w:val="nil"/>
            </w:tcBorders>
            <w:vAlign w:val="center"/>
            <w:hideMark/>
          </w:tcPr>
          <w:p w14:paraId="4D8A71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Maszyny do zagęszczania i wygładzania betonu - Bezpieczeństwo</w:t>
            </w:r>
          </w:p>
        </w:tc>
      </w:tr>
      <w:tr w:rsidR="00282AE9" w:rsidRPr="00282AE9" w14:paraId="0FA03BFF" w14:textId="77777777" w:rsidTr="00282AE9">
        <w:trPr>
          <w:trHeight w:val="300"/>
        </w:trPr>
        <w:tc>
          <w:tcPr>
            <w:tcW w:w="2127" w:type="dxa"/>
            <w:tcBorders>
              <w:top w:val="nil"/>
              <w:left w:val="nil"/>
              <w:bottom w:val="nil"/>
              <w:right w:val="nil"/>
            </w:tcBorders>
            <w:noWrap/>
            <w:vAlign w:val="center"/>
            <w:hideMark/>
          </w:tcPr>
          <w:p w14:paraId="39CEEA4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12737+A1:2010</w:t>
            </w:r>
          </w:p>
        </w:tc>
        <w:tc>
          <w:tcPr>
            <w:tcW w:w="7512" w:type="dxa"/>
            <w:tcBorders>
              <w:top w:val="nil"/>
              <w:left w:val="nil"/>
              <w:bottom w:val="nil"/>
              <w:right w:val="nil"/>
            </w:tcBorders>
            <w:vAlign w:val="center"/>
            <w:hideMark/>
          </w:tcPr>
          <w:p w14:paraId="51FDC5F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podłóg ażurowych do budynków inwentarskich</w:t>
            </w:r>
          </w:p>
        </w:tc>
      </w:tr>
      <w:tr w:rsidR="00282AE9" w:rsidRPr="00282AE9" w14:paraId="42CFFB96" w14:textId="77777777" w:rsidTr="00282AE9">
        <w:trPr>
          <w:trHeight w:val="300"/>
        </w:trPr>
        <w:tc>
          <w:tcPr>
            <w:tcW w:w="2127" w:type="dxa"/>
            <w:tcBorders>
              <w:top w:val="nil"/>
              <w:left w:val="nil"/>
              <w:bottom w:val="nil"/>
              <w:right w:val="nil"/>
            </w:tcBorders>
            <w:noWrap/>
            <w:vAlign w:val="center"/>
            <w:hideMark/>
          </w:tcPr>
          <w:p w14:paraId="112A600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12794+A1:2008</w:t>
            </w:r>
          </w:p>
        </w:tc>
        <w:tc>
          <w:tcPr>
            <w:tcW w:w="7512" w:type="dxa"/>
            <w:tcBorders>
              <w:top w:val="nil"/>
              <w:left w:val="nil"/>
              <w:bottom w:val="nil"/>
              <w:right w:val="nil"/>
            </w:tcBorders>
            <w:vAlign w:val="center"/>
            <w:hideMark/>
          </w:tcPr>
          <w:p w14:paraId="21B1F35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Pale fundamentowe</w:t>
            </w:r>
          </w:p>
        </w:tc>
      </w:tr>
      <w:tr w:rsidR="00282AE9" w:rsidRPr="00282AE9" w14:paraId="4E77CC3F" w14:textId="77777777" w:rsidTr="00282AE9">
        <w:trPr>
          <w:trHeight w:val="300"/>
        </w:trPr>
        <w:tc>
          <w:tcPr>
            <w:tcW w:w="2127" w:type="dxa"/>
            <w:tcBorders>
              <w:top w:val="nil"/>
              <w:left w:val="nil"/>
              <w:bottom w:val="nil"/>
              <w:right w:val="nil"/>
            </w:tcBorders>
            <w:noWrap/>
            <w:vAlign w:val="center"/>
            <w:hideMark/>
          </w:tcPr>
          <w:p w14:paraId="3FF373D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12839:2012</w:t>
            </w:r>
          </w:p>
        </w:tc>
        <w:tc>
          <w:tcPr>
            <w:tcW w:w="7512" w:type="dxa"/>
            <w:tcBorders>
              <w:top w:val="nil"/>
              <w:left w:val="nil"/>
              <w:bottom w:val="nil"/>
              <w:right w:val="nil"/>
            </w:tcBorders>
            <w:vAlign w:val="center"/>
            <w:hideMark/>
          </w:tcPr>
          <w:p w14:paraId="79AF205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ogrodzeń</w:t>
            </w:r>
          </w:p>
        </w:tc>
      </w:tr>
      <w:tr w:rsidR="00282AE9" w:rsidRPr="00282AE9" w14:paraId="10E1B0D9" w14:textId="77777777" w:rsidTr="00282AE9">
        <w:trPr>
          <w:trHeight w:val="300"/>
        </w:trPr>
        <w:tc>
          <w:tcPr>
            <w:tcW w:w="2127" w:type="dxa"/>
            <w:tcBorders>
              <w:top w:val="nil"/>
              <w:left w:val="nil"/>
              <w:bottom w:val="nil"/>
              <w:right w:val="nil"/>
            </w:tcBorders>
            <w:noWrap/>
            <w:vAlign w:val="center"/>
            <w:hideMark/>
          </w:tcPr>
          <w:p w14:paraId="64E35A7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12843:2008</w:t>
            </w:r>
          </w:p>
        </w:tc>
        <w:tc>
          <w:tcPr>
            <w:tcW w:w="7512" w:type="dxa"/>
            <w:tcBorders>
              <w:top w:val="nil"/>
              <w:left w:val="nil"/>
              <w:bottom w:val="nil"/>
              <w:right w:val="nil"/>
            </w:tcBorders>
            <w:vAlign w:val="center"/>
            <w:hideMark/>
          </w:tcPr>
          <w:p w14:paraId="0111547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Maszty i słupy</w:t>
            </w:r>
          </w:p>
        </w:tc>
      </w:tr>
      <w:tr w:rsidR="00282AE9" w:rsidRPr="00282AE9" w14:paraId="6FF506BA" w14:textId="77777777" w:rsidTr="00282AE9">
        <w:trPr>
          <w:trHeight w:val="300"/>
        </w:trPr>
        <w:tc>
          <w:tcPr>
            <w:tcW w:w="2127" w:type="dxa"/>
            <w:tcBorders>
              <w:top w:val="nil"/>
              <w:left w:val="nil"/>
              <w:bottom w:val="nil"/>
              <w:right w:val="nil"/>
            </w:tcBorders>
            <w:noWrap/>
            <w:vAlign w:val="center"/>
            <w:hideMark/>
          </w:tcPr>
          <w:p w14:paraId="3D4A2BF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13057:2004</w:t>
            </w:r>
          </w:p>
        </w:tc>
        <w:tc>
          <w:tcPr>
            <w:tcW w:w="7512" w:type="dxa"/>
            <w:tcBorders>
              <w:top w:val="nil"/>
              <w:left w:val="nil"/>
              <w:bottom w:val="nil"/>
              <w:right w:val="nil"/>
            </w:tcBorders>
            <w:vAlign w:val="center"/>
            <w:hideMark/>
          </w:tcPr>
          <w:p w14:paraId="618615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odporności na absorpcję kapilarną</w:t>
            </w:r>
          </w:p>
        </w:tc>
      </w:tr>
      <w:tr w:rsidR="00282AE9" w:rsidRPr="00282AE9" w14:paraId="1BFC43AC" w14:textId="77777777" w:rsidTr="00282AE9">
        <w:trPr>
          <w:trHeight w:val="300"/>
        </w:trPr>
        <w:tc>
          <w:tcPr>
            <w:tcW w:w="2127" w:type="dxa"/>
            <w:tcBorders>
              <w:top w:val="nil"/>
              <w:left w:val="nil"/>
              <w:bottom w:val="nil"/>
              <w:right w:val="nil"/>
            </w:tcBorders>
            <w:noWrap/>
            <w:vAlign w:val="center"/>
            <w:hideMark/>
          </w:tcPr>
          <w:p w14:paraId="2610053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13062:2004</w:t>
            </w:r>
          </w:p>
        </w:tc>
        <w:tc>
          <w:tcPr>
            <w:tcW w:w="7512" w:type="dxa"/>
            <w:tcBorders>
              <w:top w:val="nil"/>
              <w:left w:val="nil"/>
              <w:bottom w:val="nil"/>
              <w:right w:val="nil"/>
            </w:tcBorders>
            <w:vAlign w:val="center"/>
            <w:hideMark/>
          </w:tcPr>
          <w:p w14:paraId="4FA5856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tiksotropii wyrobów do ochrony zbrojenia</w:t>
            </w:r>
          </w:p>
        </w:tc>
      </w:tr>
      <w:tr w:rsidR="00282AE9" w:rsidRPr="00282AE9" w14:paraId="50012958" w14:textId="77777777" w:rsidTr="00282AE9">
        <w:trPr>
          <w:trHeight w:val="300"/>
        </w:trPr>
        <w:tc>
          <w:tcPr>
            <w:tcW w:w="2127" w:type="dxa"/>
            <w:tcBorders>
              <w:top w:val="nil"/>
              <w:left w:val="nil"/>
              <w:bottom w:val="nil"/>
              <w:right w:val="nil"/>
            </w:tcBorders>
            <w:noWrap/>
            <w:vAlign w:val="center"/>
            <w:hideMark/>
          </w:tcPr>
          <w:p w14:paraId="37BCE33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13198:2005</w:t>
            </w:r>
          </w:p>
        </w:tc>
        <w:tc>
          <w:tcPr>
            <w:tcW w:w="7512" w:type="dxa"/>
            <w:tcBorders>
              <w:top w:val="nil"/>
              <w:left w:val="nil"/>
              <w:bottom w:val="nil"/>
              <w:right w:val="nil"/>
            </w:tcBorders>
            <w:vAlign w:val="center"/>
            <w:hideMark/>
          </w:tcPr>
          <w:p w14:paraId="64669F7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małej architektury ulic i ogrodów</w:t>
            </w:r>
          </w:p>
        </w:tc>
      </w:tr>
      <w:tr w:rsidR="00282AE9" w:rsidRPr="00282AE9" w14:paraId="1F49D5EC" w14:textId="77777777" w:rsidTr="00282AE9">
        <w:trPr>
          <w:trHeight w:val="300"/>
        </w:trPr>
        <w:tc>
          <w:tcPr>
            <w:tcW w:w="2127" w:type="dxa"/>
            <w:tcBorders>
              <w:top w:val="nil"/>
              <w:left w:val="nil"/>
              <w:bottom w:val="nil"/>
              <w:right w:val="nil"/>
            </w:tcBorders>
            <w:noWrap/>
            <w:vAlign w:val="center"/>
            <w:hideMark/>
          </w:tcPr>
          <w:p w14:paraId="579BF1E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13224:2012</w:t>
            </w:r>
          </w:p>
        </w:tc>
        <w:tc>
          <w:tcPr>
            <w:tcW w:w="7512" w:type="dxa"/>
            <w:tcBorders>
              <w:top w:val="nil"/>
              <w:left w:val="nil"/>
              <w:bottom w:val="nil"/>
              <w:right w:val="nil"/>
            </w:tcBorders>
            <w:vAlign w:val="center"/>
            <w:hideMark/>
          </w:tcPr>
          <w:p w14:paraId="149B279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Żebrowe elementy stropowe</w:t>
            </w:r>
          </w:p>
        </w:tc>
      </w:tr>
      <w:tr w:rsidR="00282AE9" w:rsidRPr="00282AE9" w14:paraId="742AC5CD" w14:textId="77777777" w:rsidTr="00282AE9">
        <w:trPr>
          <w:trHeight w:val="300"/>
        </w:trPr>
        <w:tc>
          <w:tcPr>
            <w:tcW w:w="2127" w:type="dxa"/>
            <w:tcBorders>
              <w:top w:val="nil"/>
              <w:left w:val="nil"/>
              <w:bottom w:val="nil"/>
              <w:right w:val="nil"/>
            </w:tcBorders>
            <w:noWrap/>
            <w:vAlign w:val="center"/>
            <w:hideMark/>
          </w:tcPr>
          <w:p w14:paraId="6EA075F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13225:2013-09</w:t>
            </w:r>
          </w:p>
        </w:tc>
        <w:tc>
          <w:tcPr>
            <w:tcW w:w="7512" w:type="dxa"/>
            <w:tcBorders>
              <w:top w:val="nil"/>
              <w:left w:val="nil"/>
              <w:bottom w:val="nil"/>
              <w:right w:val="nil"/>
            </w:tcBorders>
            <w:vAlign w:val="center"/>
            <w:hideMark/>
          </w:tcPr>
          <w:p w14:paraId="1CDA0CD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Prętowe elementy konstrukcyjne</w:t>
            </w:r>
          </w:p>
        </w:tc>
      </w:tr>
      <w:tr w:rsidR="00282AE9" w:rsidRPr="00282AE9" w14:paraId="16782A10" w14:textId="77777777" w:rsidTr="00282AE9">
        <w:trPr>
          <w:trHeight w:val="300"/>
        </w:trPr>
        <w:tc>
          <w:tcPr>
            <w:tcW w:w="2127" w:type="dxa"/>
            <w:tcBorders>
              <w:top w:val="nil"/>
              <w:left w:val="nil"/>
              <w:bottom w:val="nil"/>
              <w:right w:val="nil"/>
            </w:tcBorders>
            <w:noWrap/>
            <w:vAlign w:val="center"/>
            <w:hideMark/>
          </w:tcPr>
          <w:p w14:paraId="27F350C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13263-1+A1:2010</w:t>
            </w:r>
          </w:p>
        </w:tc>
        <w:tc>
          <w:tcPr>
            <w:tcW w:w="7512" w:type="dxa"/>
            <w:tcBorders>
              <w:top w:val="nil"/>
              <w:left w:val="nil"/>
              <w:bottom w:val="nil"/>
              <w:right w:val="nil"/>
            </w:tcBorders>
            <w:vAlign w:val="center"/>
            <w:hideMark/>
          </w:tcPr>
          <w:p w14:paraId="3C6F576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Pył krzemionkowy do betonu - Część 1: Definicje, wymagania i kryteria zgodności</w:t>
            </w:r>
          </w:p>
        </w:tc>
      </w:tr>
      <w:tr w:rsidR="00282AE9" w:rsidRPr="00282AE9" w14:paraId="6F7CB903" w14:textId="77777777" w:rsidTr="00282AE9">
        <w:trPr>
          <w:trHeight w:val="300"/>
        </w:trPr>
        <w:tc>
          <w:tcPr>
            <w:tcW w:w="2127" w:type="dxa"/>
            <w:tcBorders>
              <w:top w:val="nil"/>
              <w:left w:val="nil"/>
              <w:bottom w:val="nil"/>
              <w:right w:val="nil"/>
            </w:tcBorders>
            <w:noWrap/>
            <w:vAlign w:val="center"/>
            <w:hideMark/>
          </w:tcPr>
          <w:p w14:paraId="1AF26B0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13263-2+A1:2009</w:t>
            </w:r>
          </w:p>
        </w:tc>
        <w:tc>
          <w:tcPr>
            <w:tcW w:w="7512" w:type="dxa"/>
            <w:tcBorders>
              <w:top w:val="nil"/>
              <w:left w:val="nil"/>
              <w:bottom w:val="nil"/>
              <w:right w:val="nil"/>
            </w:tcBorders>
            <w:vAlign w:val="center"/>
            <w:hideMark/>
          </w:tcPr>
          <w:p w14:paraId="61009C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Pył krzemionkowy do betonu - Część 2: Ocena zgodności</w:t>
            </w:r>
          </w:p>
        </w:tc>
      </w:tr>
      <w:tr w:rsidR="00282AE9" w:rsidRPr="00282AE9" w14:paraId="04F9729C" w14:textId="77777777" w:rsidTr="00282AE9">
        <w:trPr>
          <w:trHeight w:val="300"/>
        </w:trPr>
        <w:tc>
          <w:tcPr>
            <w:tcW w:w="2127" w:type="dxa"/>
            <w:tcBorders>
              <w:top w:val="nil"/>
              <w:left w:val="nil"/>
              <w:bottom w:val="nil"/>
              <w:right w:val="nil"/>
            </w:tcBorders>
            <w:noWrap/>
            <w:vAlign w:val="center"/>
            <w:hideMark/>
          </w:tcPr>
          <w:p w14:paraId="1ED29EA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13263-2+A1:2009</w:t>
            </w:r>
          </w:p>
        </w:tc>
        <w:tc>
          <w:tcPr>
            <w:tcW w:w="7512" w:type="dxa"/>
            <w:tcBorders>
              <w:top w:val="nil"/>
              <w:left w:val="nil"/>
              <w:bottom w:val="nil"/>
              <w:right w:val="nil"/>
            </w:tcBorders>
            <w:vAlign w:val="center"/>
            <w:hideMark/>
          </w:tcPr>
          <w:p w14:paraId="111C47C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Pył krzemionkowy do betonu - Część 2: Ocena zgodności</w:t>
            </w:r>
          </w:p>
        </w:tc>
      </w:tr>
      <w:tr w:rsidR="00282AE9" w:rsidRPr="00282AE9" w14:paraId="19ACCE3F" w14:textId="77777777" w:rsidTr="00282AE9">
        <w:trPr>
          <w:trHeight w:val="300"/>
        </w:trPr>
        <w:tc>
          <w:tcPr>
            <w:tcW w:w="2127" w:type="dxa"/>
            <w:tcBorders>
              <w:top w:val="nil"/>
              <w:left w:val="nil"/>
              <w:bottom w:val="nil"/>
              <w:right w:val="nil"/>
            </w:tcBorders>
            <w:noWrap/>
            <w:vAlign w:val="center"/>
            <w:hideMark/>
          </w:tcPr>
          <w:p w14:paraId="70AE86B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13294:2004</w:t>
            </w:r>
          </w:p>
        </w:tc>
        <w:tc>
          <w:tcPr>
            <w:tcW w:w="7512" w:type="dxa"/>
            <w:tcBorders>
              <w:top w:val="nil"/>
              <w:left w:val="nil"/>
              <w:bottom w:val="nil"/>
              <w:right w:val="nil"/>
            </w:tcBorders>
            <w:vAlign w:val="center"/>
            <w:hideMark/>
          </w:tcPr>
          <w:p w14:paraId="7271FAB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czasu tężenia</w:t>
            </w:r>
          </w:p>
        </w:tc>
      </w:tr>
      <w:tr w:rsidR="00282AE9" w:rsidRPr="00282AE9" w14:paraId="632EDB68" w14:textId="77777777" w:rsidTr="00282AE9">
        <w:trPr>
          <w:trHeight w:val="300"/>
        </w:trPr>
        <w:tc>
          <w:tcPr>
            <w:tcW w:w="2127" w:type="dxa"/>
            <w:tcBorders>
              <w:top w:val="nil"/>
              <w:left w:val="nil"/>
              <w:bottom w:val="nil"/>
              <w:right w:val="nil"/>
            </w:tcBorders>
            <w:noWrap/>
            <w:vAlign w:val="center"/>
            <w:hideMark/>
          </w:tcPr>
          <w:p w14:paraId="157119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13295:2005</w:t>
            </w:r>
          </w:p>
        </w:tc>
        <w:tc>
          <w:tcPr>
            <w:tcW w:w="7512" w:type="dxa"/>
            <w:tcBorders>
              <w:top w:val="nil"/>
              <w:left w:val="nil"/>
              <w:bottom w:val="nil"/>
              <w:right w:val="nil"/>
            </w:tcBorders>
            <w:vAlign w:val="center"/>
            <w:hideMark/>
          </w:tcPr>
          <w:p w14:paraId="2EED5DA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odporności na karbonatyzację</w:t>
            </w:r>
          </w:p>
        </w:tc>
      </w:tr>
      <w:tr w:rsidR="00282AE9" w:rsidRPr="00282AE9" w14:paraId="1D32C22F" w14:textId="77777777" w:rsidTr="00282AE9">
        <w:trPr>
          <w:trHeight w:val="300"/>
        </w:trPr>
        <w:tc>
          <w:tcPr>
            <w:tcW w:w="2127" w:type="dxa"/>
            <w:tcBorders>
              <w:top w:val="nil"/>
              <w:left w:val="nil"/>
              <w:bottom w:val="nil"/>
              <w:right w:val="nil"/>
            </w:tcBorders>
            <w:noWrap/>
            <w:vAlign w:val="center"/>
            <w:hideMark/>
          </w:tcPr>
          <w:p w14:paraId="17A41BC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13369:2018-05</w:t>
            </w:r>
          </w:p>
        </w:tc>
        <w:tc>
          <w:tcPr>
            <w:tcW w:w="7512" w:type="dxa"/>
            <w:tcBorders>
              <w:top w:val="nil"/>
              <w:left w:val="nil"/>
              <w:bottom w:val="nil"/>
              <w:right w:val="nil"/>
            </w:tcBorders>
            <w:vAlign w:val="center"/>
            <w:hideMark/>
          </w:tcPr>
          <w:p w14:paraId="0DCA192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Wspólne wymagania dla prefabrykatów z betonu</w:t>
            </w:r>
          </w:p>
        </w:tc>
      </w:tr>
      <w:tr w:rsidR="00282AE9" w:rsidRPr="00282AE9" w14:paraId="21A11CD0" w14:textId="77777777" w:rsidTr="00282AE9">
        <w:trPr>
          <w:trHeight w:val="300"/>
        </w:trPr>
        <w:tc>
          <w:tcPr>
            <w:tcW w:w="2127" w:type="dxa"/>
            <w:tcBorders>
              <w:top w:val="nil"/>
              <w:left w:val="nil"/>
              <w:bottom w:val="nil"/>
              <w:right w:val="nil"/>
            </w:tcBorders>
            <w:noWrap/>
            <w:vAlign w:val="center"/>
            <w:hideMark/>
          </w:tcPr>
          <w:p w14:paraId="3F504B9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1338:2005</w:t>
            </w:r>
          </w:p>
        </w:tc>
        <w:tc>
          <w:tcPr>
            <w:tcW w:w="7512" w:type="dxa"/>
            <w:tcBorders>
              <w:top w:val="nil"/>
              <w:left w:val="nil"/>
              <w:bottom w:val="nil"/>
              <w:right w:val="nil"/>
            </w:tcBorders>
            <w:vAlign w:val="center"/>
            <w:hideMark/>
          </w:tcPr>
          <w:p w14:paraId="06706A0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Betonowe kostki brukowe - Wymagania i metody badań</w:t>
            </w:r>
          </w:p>
        </w:tc>
      </w:tr>
      <w:tr w:rsidR="00282AE9" w:rsidRPr="00282AE9" w14:paraId="76743DC6" w14:textId="77777777" w:rsidTr="00282AE9">
        <w:trPr>
          <w:trHeight w:val="300"/>
        </w:trPr>
        <w:tc>
          <w:tcPr>
            <w:tcW w:w="2127" w:type="dxa"/>
            <w:tcBorders>
              <w:top w:val="nil"/>
              <w:left w:val="nil"/>
              <w:bottom w:val="nil"/>
              <w:right w:val="nil"/>
            </w:tcBorders>
            <w:noWrap/>
            <w:vAlign w:val="center"/>
            <w:hideMark/>
          </w:tcPr>
          <w:p w14:paraId="3CDB11D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13381-3:2015-06</w:t>
            </w:r>
          </w:p>
        </w:tc>
        <w:tc>
          <w:tcPr>
            <w:tcW w:w="7512" w:type="dxa"/>
            <w:tcBorders>
              <w:top w:val="nil"/>
              <w:left w:val="nil"/>
              <w:bottom w:val="nil"/>
              <w:right w:val="nil"/>
            </w:tcBorders>
            <w:vAlign w:val="center"/>
            <w:hideMark/>
          </w:tcPr>
          <w:p w14:paraId="3B48E4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w celu ustalania wpływu zabezpieczeń na odporność ogniową elementów konstrukcyjnych - Część 3: Zabezpieczenia elementów betonowych</w:t>
            </w:r>
          </w:p>
        </w:tc>
      </w:tr>
      <w:tr w:rsidR="00282AE9" w:rsidRPr="00282AE9" w14:paraId="57692D9E" w14:textId="77777777" w:rsidTr="00282AE9">
        <w:trPr>
          <w:trHeight w:val="600"/>
        </w:trPr>
        <w:tc>
          <w:tcPr>
            <w:tcW w:w="2127" w:type="dxa"/>
            <w:tcBorders>
              <w:top w:val="nil"/>
              <w:left w:val="nil"/>
              <w:bottom w:val="nil"/>
              <w:right w:val="nil"/>
            </w:tcBorders>
            <w:noWrap/>
            <w:vAlign w:val="center"/>
            <w:hideMark/>
          </w:tcPr>
          <w:p w14:paraId="6472C53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13381-5:2014-12</w:t>
            </w:r>
          </w:p>
        </w:tc>
        <w:tc>
          <w:tcPr>
            <w:tcW w:w="7512" w:type="dxa"/>
            <w:tcBorders>
              <w:top w:val="nil"/>
              <w:left w:val="nil"/>
              <w:bottom w:val="nil"/>
              <w:right w:val="nil"/>
            </w:tcBorders>
            <w:vAlign w:val="center"/>
            <w:hideMark/>
          </w:tcPr>
          <w:p w14:paraId="2205E68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w celu ustalania wpływu zabezpieczeń na odporność ogniową elementów konstrukcyjnych - Część 5: Zabezpieczenia elementów zespolonych z betonu i profilowanych blach stalowych</w:t>
            </w:r>
          </w:p>
        </w:tc>
      </w:tr>
      <w:tr w:rsidR="00282AE9" w:rsidRPr="00282AE9" w14:paraId="413DACAF" w14:textId="77777777" w:rsidTr="00282AE9">
        <w:trPr>
          <w:trHeight w:val="600"/>
        </w:trPr>
        <w:tc>
          <w:tcPr>
            <w:tcW w:w="2127" w:type="dxa"/>
            <w:tcBorders>
              <w:top w:val="nil"/>
              <w:left w:val="nil"/>
              <w:bottom w:val="nil"/>
              <w:right w:val="nil"/>
            </w:tcBorders>
            <w:noWrap/>
            <w:vAlign w:val="center"/>
            <w:hideMark/>
          </w:tcPr>
          <w:p w14:paraId="7907F42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13381-6:2012</w:t>
            </w:r>
          </w:p>
        </w:tc>
        <w:tc>
          <w:tcPr>
            <w:tcW w:w="7512" w:type="dxa"/>
            <w:tcBorders>
              <w:top w:val="nil"/>
              <w:left w:val="nil"/>
              <w:bottom w:val="nil"/>
              <w:right w:val="nil"/>
            </w:tcBorders>
            <w:vAlign w:val="center"/>
            <w:hideMark/>
          </w:tcPr>
          <w:p w14:paraId="412EF36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w celu ustalania wpływu zabezpieczeń na odporność ogniową elementów konstrukcyjnych - Część 6: Zabezpieczenia słupów stalowych o przekroju zamkniętym wypełnionych betonem</w:t>
            </w:r>
          </w:p>
        </w:tc>
      </w:tr>
      <w:tr w:rsidR="00282AE9" w:rsidRPr="00282AE9" w14:paraId="530ADEAA" w14:textId="77777777" w:rsidTr="00282AE9">
        <w:trPr>
          <w:trHeight w:val="300"/>
        </w:trPr>
        <w:tc>
          <w:tcPr>
            <w:tcW w:w="2127" w:type="dxa"/>
            <w:tcBorders>
              <w:top w:val="nil"/>
              <w:left w:val="nil"/>
              <w:bottom w:val="nil"/>
              <w:right w:val="nil"/>
            </w:tcBorders>
            <w:noWrap/>
            <w:vAlign w:val="center"/>
            <w:hideMark/>
          </w:tcPr>
          <w:p w14:paraId="76169AB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1339:2005</w:t>
            </w:r>
          </w:p>
        </w:tc>
        <w:tc>
          <w:tcPr>
            <w:tcW w:w="7512" w:type="dxa"/>
            <w:tcBorders>
              <w:top w:val="nil"/>
              <w:left w:val="nil"/>
              <w:bottom w:val="nil"/>
              <w:right w:val="nil"/>
            </w:tcBorders>
            <w:vAlign w:val="center"/>
            <w:hideMark/>
          </w:tcPr>
          <w:p w14:paraId="5C3AB3A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Betonowe płyty brukowe - Wymagania i metody badań</w:t>
            </w:r>
          </w:p>
        </w:tc>
      </w:tr>
      <w:tr w:rsidR="00282AE9" w:rsidRPr="00282AE9" w14:paraId="5D3A5936" w14:textId="77777777" w:rsidTr="00282AE9">
        <w:trPr>
          <w:trHeight w:val="300"/>
        </w:trPr>
        <w:tc>
          <w:tcPr>
            <w:tcW w:w="2127" w:type="dxa"/>
            <w:tcBorders>
              <w:top w:val="nil"/>
              <w:left w:val="nil"/>
              <w:bottom w:val="nil"/>
              <w:right w:val="nil"/>
            </w:tcBorders>
            <w:noWrap/>
            <w:vAlign w:val="center"/>
            <w:hideMark/>
          </w:tcPr>
          <w:p w14:paraId="630D072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13391:2005</w:t>
            </w:r>
          </w:p>
        </w:tc>
        <w:tc>
          <w:tcPr>
            <w:tcW w:w="7512" w:type="dxa"/>
            <w:tcBorders>
              <w:top w:val="nil"/>
              <w:left w:val="nil"/>
              <w:bottom w:val="nil"/>
              <w:right w:val="nil"/>
            </w:tcBorders>
            <w:vAlign w:val="center"/>
            <w:hideMark/>
          </w:tcPr>
          <w:p w14:paraId="05D87CD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mechaniczne dotyczące systemów sprężania w kablobetonie</w:t>
            </w:r>
          </w:p>
        </w:tc>
      </w:tr>
      <w:tr w:rsidR="00282AE9" w:rsidRPr="00282AE9" w14:paraId="46F6B1B7" w14:textId="77777777" w:rsidTr="00282AE9">
        <w:trPr>
          <w:trHeight w:val="300"/>
        </w:trPr>
        <w:tc>
          <w:tcPr>
            <w:tcW w:w="2127" w:type="dxa"/>
            <w:tcBorders>
              <w:top w:val="nil"/>
              <w:left w:val="nil"/>
              <w:bottom w:val="nil"/>
              <w:right w:val="nil"/>
            </w:tcBorders>
            <w:noWrap/>
            <w:vAlign w:val="center"/>
            <w:hideMark/>
          </w:tcPr>
          <w:p w14:paraId="227D584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13395-1:2004</w:t>
            </w:r>
          </w:p>
        </w:tc>
        <w:tc>
          <w:tcPr>
            <w:tcW w:w="7512" w:type="dxa"/>
            <w:tcBorders>
              <w:top w:val="nil"/>
              <w:left w:val="nil"/>
              <w:bottom w:val="nil"/>
              <w:right w:val="nil"/>
            </w:tcBorders>
            <w:vAlign w:val="center"/>
            <w:hideMark/>
          </w:tcPr>
          <w:p w14:paraId="3DB0E96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Oznaczanie urabialności - Część 1: Badanie rozpływu zapraw </w:t>
            </w:r>
            <w:proofErr w:type="spellStart"/>
            <w:r w:rsidRPr="00282AE9">
              <w:rPr>
                <w:rFonts w:eastAsia="Times New Roman" w:cs="Calibri"/>
                <w:color w:val="000000"/>
                <w:lang w:eastAsia="pl-PL"/>
              </w:rPr>
              <w:t>tiksotropowych</w:t>
            </w:r>
            <w:proofErr w:type="spellEnd"/>
          </w:p>
        </w:tc>
      </w:tr>
      <w:tr w:rsidR="00282AE9" w:rsidRPr="00282AE9" w14:paraId="32AC4F0E" w14:textId="77777777" w:rsidTr="00282AE9">
        <w:trPr>
          <w:trHeight w:val="300"/>
        </w:trPr>
        <w:tc>
          <w:tcPr>
            <w:tcW w:w="2127" w:type="dxa"/>
            <w:tcBorders>
              <w:top w:val="nil"/>
              <w:left w:val="nil"/>
              <w:bottom w:val="nil"/>
              <w:right w:val="nil"/>
            </w:tcBorders>
            <w:noWrap/>
            <w:vAlign w:val="center"/>
            <w:hideMark/>
          </w:tcPr>
          <w:p w14:paraId="010C942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13395-2:2004</w:t>
            </w:r>
          </w:p>
        </w:tc>
        <w:tc>
          <w:tcPr>
            <w:tcW w:w="7512" w:type="dxa"/>
            <w:tcBorders>
              <w:top w:val="nil"/>
              <w:left w:val="nil"/>
              <w:bottom w:val="nil"/>
              <w:right w:val="nil"/>
            </w:tcBorders>
            <w:vAlign w:val="center"/>
            <w:hideMark/>
          </w:tcPr>
          <w:p w14:paraId="5A9C210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urabialności - Część 2: Badanie płynności zaczynu lub zaprawy</w:t>
            </w:r>
          </w:p>
        </w:tc>
      </w:tr>
      <w:tr w:rsidR="00282AE9" w:rsidRPr="00282AE9" w14:paraId="0A66B92A" w14:textId="77777777" w:rsidTr="00282AE9">
        <w:trPr>
          <w:trHeight w:val="300"/>
        </w:trPr>
        <w:tc>
          <w:tcPr>
            <w:tcW w:w="2127" w:type="dxa"/>
            <w:tcBorders>
              <w:top w:val="nil"/>
              <w:left w:val="nil"/>
              <w:bottom w:val="nil"/>
              <w:right w:val="nil"/>
            </w:tcBorders>
            <w:noWrap/>
            <w:vAlign w:val="center"/>
            <w:hideMark/>
          </w:tcPr>
          <w:p w14:paraId="1761A9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13395-3:2004</w:t>
            </w:r>
          </w:p>
        </w:tc>
        <w:tc>
          <w:tcPr>
            <w:tcW w:w="7512" w:type="dxa"/>
            <w:tcBorders>
              <w:top w:val="nil"/>
              <w:left w:val="nil"/>
              <w:bottom w:val="nil"/>
              <w:right w:val="nil"/>
            </w:tcBorders>
            <w:vAlign w:val="center"/>
            <w:hideMark/>
          </w:tcPr>
          <w:p w14:paraId="18BF9FE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urabialności - Część 3: Badanie płynności mieszanki betonowej stosowanej do napraw</w:t>
            </w:r>
          </w:p>
        </w:tc>
      </w:tr>
      <w:tr w:rsidR="00282AE9" w:rsidRPr="00282AE9" w14:paraId="29DE7775" w14:textId="77777777" w:rsidTr="00282AE9">
        <w:trPr>
          <w:trHeight w:val="300"/>
        </w:trPr>
        <w:tc>
          <w:tcPr>
            <w:tcW w:w="2127" w:type="dxa"/>
            <w:tcBorders>
              <w:top w:val="nil"/>
              <w:left w:val="nil"/>
              <w:bottom w:val="nil"/>
              <w:right w:val="nil"/>
            </w:tcBorders>
            <w:noWrap/>
            <w:vAlign w:val="center"/>
            <w:hideMark/>
          </w:tcPr>
          <w:p w14:paraId="21DA3BF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13395-4:2004</w:t>
            </w:r>
          </w:p>
        </w:tc>
        <w:tc>
          <w:tcPr>
            <w:tcW w:w="7512" w:type="dxa"/>
            <w:tcBorders>
              <w:top w:val="nil"/>
              <w:left w:val="nil"/>
              <w:bottom w:val="nil"/>
              <w:right w:val="nil"/>
            </w:tcBorders>
            <w:vAlign w:val="center"/>
            <w:hideMark/>
          </w:tcPr>
          <w:p w14:paraId="4C3BB6B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urabialności - Część 4: Stosowanie zapraw do napraw powierzchni sufitowych</w:t>
            </w:r>
          </w:p>
        </w:tc>
      </w:tr>
      <w:tr w:rsidR="00282AE9" w:rsidRPr="00282AE9" w14:paraId="7414A9C2" w14:textId="77777777" w:rsidTr="00282AE9">
        <w:trPr>
          <w:trHeight w:val="300"/>
        </w:trPr>
        <w:tc>
          <w:tcPr>
            <w:tcW w:w="2127" w:type="dxa"/>
            <w:tcBorders>
              <w:top w:val="nil"/>
              <w:left w:val="nil"/>
              <w:bottom w:val="nil"/>
              <w:right w:val="nil"/>
            </w:tcBorders>
            <w:noWrap/>
            <w:vAlign w:val="center"/>
            <w:hideMark/>
          </w:tcPr>
          <w:p w14:paraId="5699949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13396:2005</w:t>
            </w:r>
          </w:p>
        </w:tc>
        <w:tc>
          <w:tcPr>
            <w:tcW w:w="7512" w:type="dxa"/>
            <w:tcBorders>
              <w:top w:val="nil"/>
              <w:left w:val="nil"/>
              <w:bottom w:val="nil"/>
              <w:right w:val="nil"/>
            </w:tcBorders>
            <w:vAlign w:val="center"/>
            <w:hideMark/>
          </w:tcPr>
          <w:p w14:paraId="5CE5B9C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w:t>
            </w:r>
            <w:r w:rsidRPr="00282AE9">
              <w:rPr>
                <w:rFonts w:eastAsia="Times New Roman" w:cs="Calibri"/>
                <w:color w:val="000000"/>
                <w:lang w:eastAsia="pl-PL"/>
              </w:rPr>
              <w:lastRenderedPageBreak/>
              <w:t>Pomiar wnikania jonów chlorkowych</w:t>
            </w:r>
          </w:p>
        </w:tc>
      </w:tr>
      <w:tr w:rsidR="00282AE9" w:rsidRPr="00282AE9" w14:paraId="0C358B4B" w14:textId="77777777" w:rsidTr="00282AE9">
        <w:trPr>
          <w:trHeight w:val="300"/>
        </w:trPr>
        <w:tc>
          <w:tcPr>
            <w:tcW w:w="2127" w:type="dxa"/>
            <w:tcBorders>
              <w:top w:val="nil"/>
              <w:left w:val="nil"/>
              <w:bottom w:val="nil"/>
              <w:right w:val="nil"/>
            </w:tcBorders>
            <w:noWrap/>
            <w:vAlign w:val="center"/>
            <w:hideMark/>
          </w:tcPr>
          <w:p w14:paraId="57C166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1340:2004</w:t>
            </w:r>
          </w:p>
        </w:tc>
        <w:tc>
          <w:tcPr>
            <w:tcW w:w="7512" w:type="dxa"/>
            <w:tcBorders>
              <w:top w:val="nil"/>
              <w:left w:val="nil"/>
              <w:bottom w:val="nil"/>
              <w:right w:val="nil"/>
            </w:tcBorders>
            <w:vAlign w:val="center"/>
            <w:hideMark/>
          </w:tcPr>
          <w:p w14:paraId="3189BD7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Krawężniki betonowe - Wymagania i metody badań</w:t>
            </w:r>
          </w:p>
        </w:tc>
      </w:tr>
      <w:tr w:rsidR="00282AE9" w:rsidRPr="00282AE9" w14:paraId="412CC9CB" w14:textId="77777777" w:rsidTr="00282AE9">
        <w:trPr>
          <w:trHeight w:val="300"/>
        </w:trPr>
        <w:tc>
          <w:tcPr>
            <w:tcW w:w="2127" w:type="dxa"/>
            <w:tcBorders>
              <w:top w:val="nil"/>
              <w:left w:val="nil"/>
              <w:bottom w:val="nil"/>
              <w:right w:val="nil"/>
            </w:tcBorders>
            <w:noWrap/>
            <w:vAlign w:val="center"/>
            <w:hideMark/>
          </w:tcPr>
          <w:p w14:paraId="7D2D7DA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13412:2008</w:t>
            </w:r>
          </w:p>
        </w:tc>
        <w:tc>
          <w:tcPr>
            <w:tcW w:w="7512" w:type="dxa"/>
            <w:tcBorders>
              <w:top w:val="nil"/>
              <w:left w:val="nil"/>
              <w:bottom w:val="nil"/>
              <w:right w:val="nil"/>
            </w:tcBorders>
            <w:vAlign w:val="center"/>
            <w:hideMark/>
          </w:tcPr>
          <w:p w14:paraId="553A85D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modułu sprężystości przy ściskaniu</w:t>
            </w:r>
          </w:p>
        </w:tc>
      </w:tr>
      <w:tr w:rsidR="00282AE9" w:rsidRPr="00282AE9" w14:paraId="2182DBF3" w14:textId="77777777" w:rsidTr="00282AE9">
        <w:trPr>
          <w:trHeight w:val="300"/>
        </w:trPr>
        <w:tc>
          <w:tcPr>
            <w:tcW w:w="2127" w:type="dxa"/>
            <w:tcBorders>
              <w:top w:val="nil"/>
              <w:left w:val="nil"/>
              <w:bottom w:val="nil"/>
              <w:right w:val="nil"/>
            </w:tcBorders>
            <w:noWrap/>
            <w:vAlign w:val="center"/>
            <w:hideMark/>
          </w:tcPr>
          <w:p w14:paraId="6E4637E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1351:1999</w:t>
            </w:r>
          </w:p>
        </w:tc>
        <w:tc>
          <w:tcPr>
            <w:tcW w:w="7512" w:type="dxa"/>
            <w:tcBorders>
              <w:top w:val="nil"/>
              <w:left w:val="nil"/>
              <w:bottom w:val="nil"/>
              <w:right w:val="nil"/>
            </w:tcBorders>
            <w:vAlign w:val="center"/>
            <w:hideMark/>
          </w:tcPr>
          <w:p w14:paraId="16DC6E5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zginanie autoklawizowanego betonu komórkowego</w:t>
            </w:r>
          </w:p>
        </w:tc>
      </w:tr>
      <w:tr w:rsidR="00282AE9" w:rsidRPr="00282AE9" w14:paraId="72FE665E" w14:textId="77777777" w:rsidTr="00282AE9">
        <w:trPr>
          <w:trHeight w:val="300"/>
        </w:trPr>
        <w:tc>
          <w:tcPr>
            <w:tcW w:w="2127" w:type="dxa"/>
            <w:tcBorders>
              <w:top w:val="nil"/>
              <w:left w:val="nil"/>
              <w:bottom w:val="nil"/>
              <w:right w:val="nil"/>
            </w:tcBorders>
            <w:noWrap/>
            <w:vAlign w:val="center"/>
            <w:hideMark/>
          </w:tcPr>
          <w:p w14:paraId="343CBDE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1352:1999</w:t>
            </w:r>
          </w:p>
        </w:tc>
        <w:tc>
          <w:tcPr>
            <w:tcW w:w="7512" w:type="dxa"/>
            <w:tcBorders>
              <w:top w:val="nil"/>
              <w:left w:val="nil"/>
              <w:bottom w:val="nil"/>
              <w:right w:val="nil"/>
            </w:tcBorders>
            <w:vAlign w:val="center"/>
            <w:hideMark/>
          </w:tcPr>
          <w:p w14:paraId="194E7C2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modułu sprężystości autoklawizowanego betonu komórkowego lub betonu lekkiego kruszywowego o otwartej strukturze</w:t>
            </w:r>
          </w:p>
        </w:tc>
      </w:tr>
      <w:tr w:rsidR="00282AE9" w:rsidRPr="00282AE9" w14:paraId="7810591F" w14:textId="77777777" w:rsidTr="00282AE9">
        <w:trPr>
          <w:trHeight w:val="300"/>
        </w:trPr>
        <w:tc>
          <w:tcPr>
            <w:tcW w:w="2127" w:type="dxa"/>
            <w:tcBorders>
              <w:top w:val="nil"/>
              <w:left w:val="nil"/>
              <w:bottom w:val="nil"/>
              <w:right w:val="nil"/>
            </w:tcBorders>
            <w:noWrap/>
            <w:vAlign w:val="center"/>
            <w:hideMark/>
          </w:tcPr>
          <w:p w14:paraId="24AA21C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13529:2005</w:t>
            </w:r>
          </w:p>
        </w:tc>
        <w:tc>
          <w:tcPr>
            <w:tcW w:w="7512" w:type="dxa"/>
            <w:tcBorders>
              <w:top w:val="nil"/>
              <w:left w:val="nil"/>
              <w:bottom w:val="nil"/>
              <w:right w:val="nil"/>
            </w:tcBorders>
            <w:vAlign w:val="center"/>
            <w:hideMark/>
          </w:tcPr>
          <w:p w14:paraId="2DDFA6D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Odporność na silną agresję chemiczną</w:t>
            </w:r>
          </w:p>
        </w:tc>
      </w:tr>
      <w:tr w:rsidR="00282AE9" w:rsidRPr="00282AE9" w14:paraId="39CC88BF" w14:textId="77777777" w:rsidTr="00282AE9">
        <w:trPr>
          <w:trHeight w:val="300"/>
        </w:trPr>
        <w:tc>
          <w:tcPr>
            <w:tcW w:w="2127" w:type="dxa"/>
            <w:tcBorders>
              <w:top w:val="nil"/>
              <w:left w:val="nil"/>
              <w:bottom w:val="nil"/>
              <w:right w:val="nil"/>
            </w:tcBorders>
            <w:noWrap/>
            <w:vAlign w:val="center"/>
            <w:hideMark/>
          </w:tcPr>
          <w:p w14:paraId="2638045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1353:1999</w:t>
            </w:r>
          </w:p>
        </w:tc>
        <w:tc>
          <w:tcPr>
            <w:tcW w:w="7512" w:type="dxa"/>
            <w:tcBorders>
              <w:top w:val="nil"/>
              <w:left w:val="nil"/>
              <w:bottom w:val="nil"/>
              <w:right w:val="nil"/>
            </w:tcBorders>
            <w:vAlign w:val="center"/>
            <w:hideMark/>
          </w:tcPr>
          <w:p w14:paraId="4E0BE7E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wilgotności autoklawizowanego betonu komórkowego</w:t>
            </w:r>
          </w:p>
        </w:tc>
      </w:tr>
      <w:tr w:rsidR="00282AE9" w:rsidRPr="00282AE9" w14:paraId="2A5B9032" w14:textId="77777777" w:rsidTr="00282AE9">
        <w:trPr>
          <w:trHeight w:val="300"/>
        </w:trPr>
        <w:tc>
          <w:tcPr>
            <w:tcW w:w="2127" w:type="dxa"/>
            <w:tcBorders>
              <w:top w:val="nil"/>
              <w:left w:val="nil"/>
              <w:bottom w:val="nil"/>
              <w:right w:val="nil"/>
            </w:tcBorders>
            <w:noWrap/>
            <w:vAlign w:val="center"/>
            <w:hideMark/>
          </w:tcPr>
          <w:p w14:paraId="76A6DC9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1354:2006</w:t>
            </w:r>
          </w:p>
        </w:tc>
        <w:tc>
          <w:tcPr>
            <w:tcW w:w="7512" w:type="dxa"/>
            <w:tcBorders>
              <w:top w:val="nil"/>
              <w:left w:val="nil"/>
              <w:bottom w:val="nil"/>
              <w:right w:val="nil"/>
            </w:tcBorders>
            <w:vAlign w:val="center"/>
            <w:hideMark/>
          </w:tcPr>
          <w:p w14:paraId="7A6907C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ściskanie betonu lekkiego kruszywowego o otwartej strukturze</w:t>
            </w:r>
          </w:p>
        </w:tc>
      </w:tr>
      <w:tr w:rsidR="00282AE9" w:rsidRPr="00282AE9" w14:paraId="782F4563" w14:textId="77777777" w:rsidTr="00282AE9">
        <w:trPr>
          <w:trHeight w:val="300"/>
        </w:trPr>
        <w:tc>
          <w:tcPr>
            <w:tcW w:w="2127" w:type="dxa"/>
            <w:tcBorders>
              <w:top w:val="nil"/>
              <w:left w:val="nil"/>
              <w:bottom w:val="nil"/>
              <w:right w:val="nil"/>
            </w:tcBorders>
            <w:noWrap/>
            <w:vAlign w:val="center"/>
            <w:hideMark/>
          </w:tcPr>
          <w:p w14:paraId="15B7853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1355:1999</w:t>
            </w:r>
          </w:p>
        </w:tc>
        <w:tc>
          <w:tcPr>
            <w:tcW w:w="7512" w:type="dxa"/>
            <w:tcBorders>
              <w:top w:val="nil"/>
              <w:left w:val="nil"/>
              <w:bottom w:val="nil"/>
              <w:right w:val="nil"/>
            </w:tcBorders>
            <w:vAlign w:val="center"/>
            <w:hideMark/>
          </w:tcPr>
          <w:p w14:paraId="3C7F3C0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pełzania przy ściskaniu autoklawizowanego betonu komórkowego lub betonu lekkiego kruszywowego o otwartej strukturze</w:t>
            </w:r>
          </w:p>
        </w:tc>
      </w:tr>
      <w:tr w:rsidR="00282AE9" w:rsidRPr="00282AE9" w14:paraId="1017F558" w14:textId="77777777" w:rsidTr="00282AE9">
        <w:trPr>
          <w:trHeight w:val="600"/>
        </w:trPr>
        <w:tc>
          <w:tcPr>
            <w:tcW w:w="2127" w:type="dxa"/>
            <w:tcBorders>
              <w:top w:val="nil"/>
              <w:left w:val="nil"/>
              <w:bottom w:val="nil"/>
              <w:right w:val="nil"/>
            </w:tcBorders>
            <w:noWrap/>
            <w:vAlign w:val="center"/>
            <w:hideMark/>
          </w:tcPr>
          <w:p w14:paraId="4885ED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1356:1999</w:t>
            </w:r>
          </w:p>
        </w:tc>
        <w:tc>
          <w:tcPr>
            <w:tcW w:w="7512" w:type="dxa"/>
            <w:tcBorders>
              <w:top w:val="nil"/>
              <w:left w:val="nil"/>
              <w:bottom w:val="nil"/>
              <w:right w:val="nil"/>
            </w:tcBorders>
            <w:vAlign w:val="center"/>
            <w:hideMark/>
          </w:tcPr>
          <w:p w14:paraId="54F6834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właściwości użytkowych prefabrykowanych elementów zbrojonych z autoklawizowanego betonu komórkowego lub betonu lekkiego kruszywowego o otwartej strukturze przy zginaniu</w:t>
            </w:r>
          </w:p>
        </w:tc>
      </w:tr>
      <w:tr w:rsidR="00282AE9" w:rsidRPr="00282AE9" w14:paraId="6B44C2DC" w14:textId="77777777" w:rsidTr="00282AE9">
        <w:trPr>
          <w:trHeight w:val="300"/>
        </w:trPr>
        <w:tc>
          <w:tcPr>
            <w:tcW w:w="2127" w:type="dxa"/>
            <w:tcBorders>
              <w:top w:val="nil"/>
              <w:left w:val="nil"/>
              <w:bottom w:val="nil"/>
              <w:right w:val="nil"/>
            </w:tcBorders>
            <w:noWrap/>
            <w:vAlign w:val="center"/>
            <w:hideMark/>
          </w:tcPr>
          <w:p w14:paraId="022BF8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13577:2008</w:t>
            </w:r>
          </w:p>
        </w:tc>
        <w:tc>
          <w:tcPr>
            <w:tcW w:w="7512" w:type="dxa"/>
            <w:tcBorders>
              <w:top w:val="nil"/>
              <w:left w:val="nil"/>
              <w:bottom w:val="nil"/>
              <w:right w:val="nil"/>
            </w:tcBorders>
            <w:vAlign w:val="center"/>
            <w:hideMark/>
          </w:tcPr>
          <w:p w14:paraId="6BEFD82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Agresja chemiczna na beton - Oznaczanie zawartości agresywnego dwutlenku węgla w wodzie</w:t>
            </w:r>
          </w:p>
        </w:tc>
      </w:tr>
      <w:tr w:rsidR="00282AE9" w:rsidRPr="00282AE9" w14:paraId="6D8C9796" w14:textId="77777777" w:rsidTr="00282AE9">
        <w:trPr>
          <w:trHeight w:val="300"/>
        </w:trPr>
        <w:tc>
          <w:tcPr>
            <w:tcW w:w="2127" w:type="dxa"/>
            <w:tcBorders>
              <w:top w:val="nil"/>
              <w:left w:val="nil"/>
              <w:bottom w:val="nil"/>
              <w:right w:val="nil"/>
            </w:tcBorders>
            <w:noWrap/>
            <w:vAlign w:val="center"/>
            <w:hideMark/>
          </w:tcPr>
          <w:p w14:paraId="47F46F9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13578:2008</w:t>
            </w:r>
          </w:p>
        </w:tc>
        <w:tc>
          <w:tcPr>
            <w:tcW w:w="7512" w:type="dxa"/>
            <w:tcBorders>
              <w:top w:val="nil"/>
              <w:left w:val="nil"/>
              <w:bottom w:val="nil"/>
              <w:right w:val="nil"/>
            </w:tcBorders>
            <w:vAlign w:val="center"/>
            <w:hideMark/>
          </w:tcPr>
          <w:p w14:paraId="07694BC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Kompatybilność z betonem wilgotnym</w:t>
            </w:r>
          </w:p>
        </w:tc>
      </w:tr>
      <w:tr w:rsidR="00282AE9" w:rsidRPr="00282AE9" w14:paraId="1947F10E" w14:textId="77777777" w:rsidTr="00282AE9">
        <w:trPr>
          <w:trHeight w:val="300"/>
        </w:trPr>
        <w:tc>
          <w:tcPr>
            <w:tcW w:w="2127" w:type="dxa"/>
            <w:tcBorders>
              <w:top w:val="nil"/>
              <w:left w:val="nil"/>
              <w:bottom w:val="nil"/>
              <w:right w:val="nil"/>
            </w:tcBorders>
            <w:noWrap/>
            <w:vAlign w:val="center"/>
            <w:hideMark/>
          </w:tcPr>
          <w:p w14:paraId="45A0393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13579:2004</w:t>
            </w:r>
          </w:p>
        </w:tc>
        <w:tc>
          <w:tcPr>
            <w:tcW w:w="7512" w:type="dxa"/>
            <w:tcBorders>
              <w:top w:val="nil"/>
              <w:left w:val="nil"/>
              <w:bottom w:val="nil"/>
              <w:right w:val="nil"/>
            </w:tcBorders>
            <w:vAlign w:val="center"/>
            <w:hideMark/>
          </w:tcPr>
          <w:p w14:paraId="2EC0108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Badanie schnięcia przy impregnacji </w:t>
            </w:r>
            <w:proofErr w:type="spellStart"/>
            <w:r w:rsidRPr="00282AE9">
              <w:rPr>
                <w:rFonts w:eastAsia="Times New Roman" w:cs="Calibri"/>
                <w:color w:val="000000"/>
                <w:lang w:eastAsia="pl-PL"/>
              </w:rPr>
              <w:t>hydrofobizującej</w:t>
            </w:r>
            <w:proofErr w:type="spellEnd"/>
          </w:p>
        </w:tc>
      </w:tr>
      <w:tr w:rsidR="00282AE9" w:rsidRPr="00282AE9" w14:paraId="118B89B8" w14:textId="77777777" w:rsidTr="00282AE9">
        <w:trPr>
          <w:trHeight w:val="300"/>
        </w:trPr>
        <w:tc>
          <w:tcPr>
            <w:tcW w:w="2127" w:type="dxa"/>
            <w:tcBorders>
              <w:top w:val="nil"/>
              <w:left w:val="nil"/>
              <w:bottom w:val="nil"/>
              <w:right w:val="nil"/>
            </w:tcBorders>
            <w:noWrap/>
            <w:vAlign w:val="center"/>
            <w:hideMark/>
          </w:tcPr>
          <w:p w14:paraId="77F754E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13580:2004</w:t>
            </w:r>
          </w:p>
        </w:tc>
        <w:tc>
          <w:tcPr>
            <w:tcW w:w="7512" w:type="dxa"/>
            <w:tcBorders>
              <w:top w:val="nil"/>
              <w:left w:val="nil"/>
              <w:bottom w:val="nil"/>
              <w:right w:val="nil"/>
            </w:tcBorders>
            <w:vAlign w:val="center"/>
            <w:hideMark/>
          </w:tcPr>
          <w:p w14:paraId="6681830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Nasiąkliwość i odporność na alkalia przy impregnacji </w:t>
            </w:r>
            <w:proofErr w:type="spellStart"/>
            <w:r w:rsidRPr="00282AE9">
              <w:rPr>
                <w:rFonts w:eastAsia="Times New Roman" w:cs="Calibri"/>
                <w:color w:val="000000"/>
                <w:lang w:eastAsia="pl-PL"/>
              </w:rPr>
              <w:t>hydrofobizującej</w:t>
            </w:r>
            <w:proofErr w:type="spellEnd"/>
          </w:p>
        </w:tc>
      </w:tr>
      <w:tr w:rsidR="00282AE9" w:rsidRPr="00282AE9" w14:paraId="7A3B6B1D" w14:textId="77777777" w:rsidTr="00282AE9">
        <w:trPr>
          <w:trHeight w:val="600"/>
        </w:trPr>
        <w:tc>
          <w:tcPr>
            <w:tcW w:w="2127" w:type="dxa"/>
            <w:tcBorders>
              <w:top w:val="nil"/>
              <w:left w:val="nil"/>
              <w:bottom w:val="nil"/>
              <w:right w:val="nil"/>
            </w:tcBorders>
            <w:noWrap/>
            <w:vAlign w:val="center"/>
            <w:hideMark/>
          </w:tcPr>
          <w:p w14:paraId="312F0ED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13581:2004</w:t>
            </w:r>
          </w:p>
        </w:tc>
        <w:tc>
          <w:tcPr>
            <w:tcW w:w="7512" w:type="dxa"/>
            <w:tcBorders>
              <w:top w:val="nil"/>
              <w:left w:val="nil"/>
              <w:bottom w:val="nil"/>
              <w:right w:val="nil"/>
            </w:tcBorders>
            <w:vAlign w:val="center"/>
            <w:hideMark/>
          </w:tcPr>
          <w:p w14:paraId="7559346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Oznaczanie ubytku masy betonu </w:t>
            </w:r>
            <w:proofErr w:type="spellStart"/>
            <w:r w:rsidRPr="00282AE9">
              <w:rPr>
                <w:rFonts w:eastAsia="Times New Roman" w:cs="Calibri"/>
                <w:color w:val="000000"/>
                <w:lang w:eastAsia="pl-PL"/>
              </w:rPr>
              <w:t>hydrofobizowanego</w:t>
            </w:r>
            <w:proofErr w:type="spellEnd"/>
            <w:r w:rsidRPr="00282AE9">
              <w:rPr>
                <w:rFonts w:eastAsia="Times New Roman" w:cs="Calibri"/>
                <w:color w:val="000000"/>
                <w:lang w:eastAsia="pl-PL"/>
              </w:rPr>
              <w:t xml:space="preserve"> przez impregnację po działaniu zamrażania-rozmrażania w obecności soli</w:t>
            </w:r>
          </w:p>
        </w:tc>
      </w:tr>
      <w:tr w:rsidR="00282AE9" w:rsidRPr="00282AE9" w14:paraId="40BED064" w14:textId="77777777" w:rsidTr="00282AE9">
        <w:trPr>
          <w:trHeight w:val="300"/>
        </w:trPr>
        <w:tc>
          <w:tcPr>
            <w:tcW w:w="2127" w:type="dxa"/>
            <w:tcBorders>
              <w:top w:val="nil"/>
              <w:left w:val="nil"/>
              <w:bottom w:val="nil"/>
              <w:right w:val="nil"/>
            </w:tcBorders>
            <w:noWrap/>
            <w:vAlign w:val="center"/>
            <w:hideMark/>
          </w:tcPr>
          <w:p w14:paraId="54893DB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13584:2004</w:t>
            </w:r>
          </w:p>
        </w:tc>
        <w:tc>
          <w:tcPr>
            <w:tcW w:w="7512" w:type="dxa"/>
            <w:tcBorders>
              <w:top w:val="nil"/>
              <w:left w:val="nil"/>
              <w:bottom w:val="nil"/>
              <w:right w:val="nil"/>
            </w:tcBorders>
            <w:vAlign w:val="center"/>
            <w:hideMark/>
          </w:tcPr>
          <w:p w14:paraId="3012151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pełzania przy ściskaniu dla wyrobów stosowanych do napraw</w:t>
            </w:r>
          </w:p>
        </w:tc>
      </w:tr>
      <w:tr w:rsidR="00282AE9" w:rsidRPr="00282AE9" w14:paraId="6B5F1ADC" w14:textId="77777777" w:rsidTr="00282AE9">
        <w:trPr>
          <w:trHeight w:val="300"/>
        </w:trPr>
        <w:tc>
          <w:tcPr>
            <w:tcW w:w="2127" w:type="dxa"/>
            <w:tcBorders>
              <w:top w:val="nil"/>
              <w:left w:val="nil"/>
              <w:bottom w:val="nil"/>
              <w:right w:val="nil"/>
            </w:tcBorders>
            <w:noWrap/>
            <w:vAlign w:val="center"/>
            <w:hideMark/>
          </w:tcPr>
          <w:p w14:paraId="734D746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13670:2011</w:t>
            </w:r>
          </w:p>
        </w:tc>
        <w:tc>
          <w:tcPr>
            <w:tcW w:w="7512" w:type="dxa"/>
            <w:tcBorders>
              <w:top w:val="nil"/>
              <w:left w:val="nil"/>
              <w:bottom w:val="nil"/>
              <w:right w:val="nil"/>
            </w:tcBorders>
            <w:vAlign w:val="center"/>
            <w:hideMark/>
          </w:tcPr>
          <w:p w14:paraId="7D7778B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Wykonywanie konstrukcji z betonu</w:t>
            </w:r>
          </w:p>
        </w:tc>
      </w:tr>
      <w:tr w:rsidR="00282AE9" w:rsidRPr="00282AE9" w14:paraId="797410CC" w14:textId="77777777" w:rsidTr="00282AE9">
        <w:trPr>
          <w:trHeight w:val="600"/>
        </w:trPr>
        <w:tc>
          <w:tcPr>
            <w:tcW w:w="2127" w:type="dxa"/>
            <w:tcBorders>
              <w:top w:val="nil"/>
              <w:left w:val="nil"/>
              <w:bottom w:val="nil"/>
              <w:right w:val="nil"/>
            </w:tcBorders>
            <w:noWrap/>
            <w:vAlign w:val="center"/>
            <w:hideMark/>
          </w:tcPr>
          <w:p w14:paraId="3A96590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13687-1:2008</w:t>
            </w:r>
          </w:p>
        </w:tc>
        <w:tc>
          <w:tcPr>
            <w:tcW w:w="7512" w:type="dxa"/>
            <w:tcBorders>
              <w:top w:val="nil"/>
              <w:left w:val="nil"/>
              <w:bottom w:val="nil"/>
              <w:right w:val="nil"/>
            </w:tcBorders>
            <w:vAlign w:val="center"/>
            <w:hideMark/>
          </w:tcPr>
          <w:p w14:paraId="34E2BCD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kompatybilności cieplnej - Część 1: Cykliczne zamrażanie-rozmrażanie przy zanurzeniu w roztworze soli odladzającej</w:t>
            </w:r>
          </w:p>
        </w:tc>
      </w:tr>
      <w:tr w:rsidR="00282AE9" w:rsidRPr="00282AE9" w14:paraId="5DDBD546" w14:textId="77777777" w:rsidTr="00282AE9">
        <w:trPr>
          <w:trHeight w:val="300"/>
        </w:trPr>
        <w:tc>
          <w:tcPr>
            <w:tcW w:w="2127" w:type="dxa"/>
            <w:tcBorders>
              <w:top w:val="nil"/>
              <w:left w:val="nil"/>
              <w:bottom w:val="nil"/>
              <w:right w:val="nil"/>
            </w:tcBorders>
            <w:noWrap/>
            <w:vAlign w:val="center"/>
            <w:hideMark/>
          </w:tcPr>
          <w:p w14:paraId="74B549E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13687-2:2008</w:t>
            </w:r>
          </w:p>
        </w:tc>
        <w:tc>
          <w:tcPr>
            <w:tcW w:w="7512" w:type="dxa"/>
            <w:tcBorders>
              <w:top w:val="nil"/>
              <w:left w:val="nil"/>
              <w:bottom w:val="nil"/>
              <w:right w:val="nil"/>
            </w:tcBorders>
            <w:vAlign w:val="center"/>
            <w:hideMark/>
          </w:tcPr>
          <w:p w14:paraId="69E052F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kompatybilności cieplnej - Część 2: Cykliczny efekt burzy (szok cieplny)</w:t>
            </w:r>
          </w:p>
        </w:tc>
      </w:tr>
      <w:tr w:rsidR="00282AE9" w:rsidRPr="00282AE9" w14:paraId="178EAD24" w14:textId="77777777" w:rsidTr="00282AE9">
        <w:trPr>
          <w:trHeight w:val="300"/>
        </w:trPr>
        <w:tc>
          <w:tcPr>
            <w:tcW w:w="2127" w:type="dxa"/>
            <w:tcBorders>
              <w:top w:val="nil"/>
              <w:left w:val="nil"/>
              <w:bottom w:val="nil"/>
              <w:right w:val="nil"/>
            </w:tcBorders>
            <w:noWrap/>
            <w:vAlign w:val="center"/>
            <w:hideMark/>
          </w:tcPr>
          <w:p w14:paraId="5591CED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13687-3:2002</w:t>
            </w:r>
          </w:p>
        </w:tc>
        <w:tc>
          <w:tcPr>
            <w:tcW w:w="7512" w:type="dxa"/>
            <w:tcBorders>
              <w:top w:val="nil"/>
              <w:left w:val="nil"/>
              <w:bottom w:val="nil"/>
              <w:right w:val="nil"/>
            </w:tcBorders>
            <w:vAlign w:val="center"/>
            <w:hideMark/>
          </w:tcPr>
          <w:p w14:paraId="55B839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kompatybilności termicznej - Część 3: Cykle termiczne bez soli odladzającej</w:t>
            </w:r>
          </w:p>
        </w:tc>
      </w:tr>
      <w:tr w:rsidR="00282AE9" w:rsidRPr="00282AE9" w14:paraId="7CB8E3B8" w14:textId="77777777" w:rsidTr="00282AE9">
        <w:trPr>
          <w:trHeight w:val="300"/>
        </w:trPr>
        <w:tc>
          <w:tcPr>
            <w:tcW w:w="2127" w:type="dxa"/>
            <w:tcBorders>
              <w:top w:val="nil"/>
              <w:left w:val="nil"/>
              <w:bottom w:val="nil"/>
              <w:right w:val="nil"/>
            </w:tcBorders>
            <w:noWrap/>
            <w:vAlign w:val="center"/>
            <w:hideMark/>
          </w:tcPr>
          <w:p w14:paraId="579509F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13687-4:2002</w:t>
            </w:r>
          </w:p>
        </w:tc>
        <w:tc>
          <w:tcPr>
            <w:tcW w:w="7512" w:type="dxa"/>
            <w:tcBorders>
              <w:top w:val="nil"/>
              <w:left w:val="nil"/>
              <w:bottom w:val="nil"/>
              <w:right w:val="nil"/>
            </w:tcBorders>
            <w:vAlign w:val="center"/>
            <w:hideMark/>
          </w:tcPr>
          <w:p w14:paraId="0BACBC1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kompatybilności termicznej - Część 4: Cykle termiczne na sucho</w:t>
            </w:r>
          </w:p>
        </w:tc>
      </w:tr>
      <w:tr w:rsidR="00282AE9" w:rsidRPr="00282AE9" w14:paraId="4266D0B5" w14:textId="77777777" w:rsidTr="00282AE9">
        <w:trPr>
          <w:trHeight w:val="300"/>
        </w:trPr>
        <w:tc>
          <w:tcPr>
            <w:tcW w:w="2127" w:type="dxa"/>
            <w:tcBorders>
              <w:top w:val="nil"/>
              <w:left w:val="nil"/>
              <w:bottom w:val="nil"/>
              <w:right w:val="nil"/>
            </w:tcBorders>
            <w:noWrap/>
            <w:vAlign w:val="center"/>
            <w:hideMark/>
          </w:tcPr>
          <w:p w14:paraId="5C05057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13687-5:2002</w:t>
            </w:r>
          </w:p>
        </w:tc>
        <w:tc>
          <w:tcPr>
            <w:tcW w:w="7512" w:type="dxa"/>
            <w:tcBorders>
              <w:top w:val="nil"/>
              <w:left w:val="nil"/>
              <w:bottom w:val="nil"/>
              <w:right w:val="nil"/>
            </w:tcBorders>
            <w:vAlign w:val="center"/>
            <w:hideMark/>
          </w:tcPr>
          <w:p w14:paraId="47AFE81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kompatybilności termicznej - Część 5: Odporność na szok termiczny</w:t>
            </w:r>
          </w:p>
        </w:tc>
      </w:tr>
      <w:tr w:rsidR="00282AE9" w:rsidRPr="00282AE9" w14:paraId="6E72CF8E" w14:textId="77777777" w:rsidTr="00282AE9">
        <w:trPr>
          <w:trHeight w:val="300"/>
        </w:trPr>
        <w:tc>
          <w:tcPr>
            <w:tcW w:w="2127" w:type="dxa"/>
            <w:tcBorders>
              <w:top w:val="nil"/>
              <w:left w:val="nil"/>
              <w:bottom w:val="nil"/>
              <w:right w:val="nil"/>
            </w:tcBorders>
            <w:noWrap/>
            <w:vAlign w:val="center"/>
            <w:hideMark/>
          </w:tcPr>
          <w:p w14:paraId="7D61853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13693+A1:2009</w:t>
            </w:r>
          </w:p>
        </w:tc>
        <w:tc>
          <w:tcPr>
            <w:tcW w:w="7512" w:type="dxa"/>
            <w:tcBorders>
              <w:top w:val="nil"/>
              <w:left w:val="nil"/>
              <w:bottom w:val="nil"/>
              <w:right w:val="nil"/>
            </w:tcBorders>
            <w:vAlign w:val="center"/>
            <w:hideMark/>
          </w:tcPr>
          <w:p w14:paraId="2141A5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Specjalne elementy dachowe</w:t>
            </w:r>
          </w:p>
        </w:tc>
      </w:tr>
      <w:tr w:rsidR="00282AE9" w:rsidRPr="00282AE9" w14:paraId="47DE8DE4" w14:textId="77777777" w:rsidTr="00282AE9">
        <w:trPr>
          <w:trHeight w:val="300"/>
        </w:trPr>
        <w:tc>
          <w:tcPr>
            <w:tcW w:w="2127" w:type="dxa"/>
            <w:tcBorders>
              <w:top w:val="nil"/>
              <w:left w:val="nil"/>
              <w:bottom w:val="nil"/>
              <w:right w:val="nil"/>
            </w:tcBorders>
            <w:noWrap/>
            <w:vAlign w:val="center"/>
            <w:hideMark/>
          </w:tcPr>
          <w:p w14:paraId="45917F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13733:2004</w:t>
            </w:r>
          </w:p>
        </w:tc>
        <w:tc>
          <w:tcPr>
            <w:tcW w:w="7512" w:type="dxa"/>
            <w:tcBorders>
              <w:top w:val="nil"/>
              <w:left w:val="nil"/>
              <w:bottom w:val="nil"/>
              <w:right w:val="nil"/>
            </w:tcBorders>
            <w:vAlign w:val="center"/>
            <w:hideMark/>
          </w:tcPr>
          <w:p w14:paraId="79E100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trwałości konstrukcyjnych materiałów klejących</w:t>
            </w:r>
          </w:p>
        </w:tc>
      </w:tr>
      <w:tr w:rsidR="00282AE9" w:rsidRPr="00282AE9" w14:paraId="3714FF44" w14:textId="77777777" w:rsidTr="00282AE9">
        <w:trPr>
          <w:trHeight w:val="300"/>
        </w:trPr>
        <w:tc>
          <w:tcPr>
            <w:tcW w:w="2127" w:type="dxa"/>
            <w:tcBorders>
              <w:top w:val="nil"/>
              <w:left w:val="nil"/>
              <w:bottom w:val="nil"/>
              <w:right w:val="nil"/>
            </w:tcBorders>
            <w:noWrap/>
            <w:vAlign w:val="center"/>
            <w:hideMark/>
          </w:tcPr>
          <w:p w14:paraId="3FF6431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13747+A2:2011</w:t>
            </w:r>
          </w:p>
        </w:tc>
        <w:tc>
          <w:tcPr>
            <w:tcW w:w="7512" w:type="dxa"/>
            <w:tcBorders>
              <w:top w:val="nil"/>
              <w:left w:val="nil"/>
              <w:bottom w:val="nil"/>
              <w:right w:val="nil"/>
            </w:tcBorders>
            <w:vAlign w:val="center"/>
            <w:hideMark/>
          </w:tcPr>
          <w:p w14:paraId="6577917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Płyty stropowe do zespolonych systemów stropowych</w:t>
            </w:r>
          </w:p>
        </w:tc>
      </w:tr>
      <w:tr w:rsidR="00282AE9" w:rsidRPr="00282AE9" w14:paraId="1B997194" w14:textId="77777777" w:rsidTr="00282AE9">
        <w:trPr>
          <w:trHeight w:val="300"/>
        </w:trPr>
        <w:tc>
          <w:tcPr>
            <w:tcW w:w="2127" w:type="dxa"/>
            <w:tcBorders>
              <w:top w:val="nil"/>
              <w:left w:val="nil"/>
              <w:bottom w:val="nil"/>
              <w:right w:val="nil"/>
            </w:tcBorders>
            <w:noWrap/>
            <w:vAlign w:val="center"/>
            <w:hideMark/>
          </w:tcPr>
          <w:p w14:paraId="3B91968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13791:2019-12</w:t>
            </w:r>
          </w:p>
        </w:tc>
        <w:tc>
          <w:tcPr>
            <w:tcW w:w="7512" w:type="dxa"/>
            <w:tcBorders>
              <w:top w:val="nil"/>
              <w:left w:val="nil"/>
              <w:bottom w:val="nil"/>
              <w:right w:val="nil"/>
            </w:tcBorders>
            <w:vAlign w:val="center"/>
            <w:hideMark/>
          </w:tcPr>
          <w:p w14:paraId="5B4906D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Ocena wytrzymałości betonu na ściskanie w konstrukcjach i prefabrykowanych wyrobach betonowych</w:t>
            </w:r>
          </w:p>
        </w:tc>
      </w:tr>
      <w:tr w:rsidR="00282AE9" w:rsidRPr="00282AE9" w14:paraId="6B837669" w14:textId="77777777" w:rsidTr="00282AE9">
        <w:trPr>
          <w:trHeight w:val="300"/>
        </w:trPr>
        <w:tc>
          <w:tcPr>
            <w:tcW w:w="2127" w:type="dxa"/>
            <w:tcBorders>
              <w:top w:val="nil"/>
              <w:left w:val="nil"/>
              <w:bottom w:val="nil"/>
              <w:right w:val="nil"/>
            </w:tcBorders>
            <w:noWrap/>
            <w:vAlign w:val="center"/>
            <w:hideMark/>
          </w:tcPr>
          <w:p w14:paraId="68A7091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13791:2019-12</w:t>
            </w:r>
          </w:p>
        </w:tc>
        <w:tc>
          <w:tcPr>
            <w:tcW w:w="7512" w:type="dxa"/>
            <w:tcBorders>
              <w:top w:val="nil"/>
              <w:left w:val="nil"/>
              <w:bottom w:val="nil"/>
              <w:right w:val="nil"/>
            </w:tcBorders>
            <w:vAlign w:val="center"/>
            <w:hideMark/>
          </w:tcPr>
          <w:p w14:paraId="6B13A3E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Ocena wytrzymałości betonu na ściskanie w konstrukcjach i prefabrykowanych wyrobach betonowych</w:t>
            </w:r>
          </w:p>
        </w:tc>
      </w:tr>
      <w:tr w:rsidR="00282AE9" w:rsidRPr="00282AE9" w14:paraId="304AE6AC" w14:textId="77777777" w:rsidTr="00282AE9">
        <w:trPr>
          <w:trHeight w:val="300"/>
        </w:trPr>
        <w:tc>
          <w:tcPr>
            <w:tcW w:w="2127" w:type="dxa"/>
            <w:tcBorders>
              <w:top w:val="nil"/>
              <w:left w:val="nil"/>
              <w:bottom w:val="nil"/>
              <w:right w:val="nil"/>
            </w:tcBorders>
            <w:noWrap/>
            <w:vAlign w:val="center"/>
            <w:hideMark/>
          </w:tcPr>
          <w:p w14:paraId="2D627B7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13863-1:2007</w:t>
            </w:r>
          </w:p>
        </w:tc>
        <w:tc>
          <w:tcPr>
            <w:tcW w:w="7512" w:type="dxa"/>
            <w:tcBorders>
              <w:top w:val="nil"/>
              <w:left w:val="nil"/>
              <w:bottom w:val="nil"/>
              <w:right w:val="nil"/>
            </w:tcBorders>
            <w:vAlign w:val="center"/>
            <w:hideMark/>
          </w:tcPr>
          <w:p w14:paraId="3627CF5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1: Metoda określania grubości nawierzchni betonowej metodą pomiarową</w:t>
            </w:r>
          </w:p>
        </w:tc>
      </w:tr>
      <w:tr w:rsidR="00282AE9" w:rsidRPr="00282AE9" w14:paraId="4E895F50" w14:textId="77777777" w:rsidTr="00282AE9">
        <w:trPr>
          <w:trHeight w:val="300"/>
        </w:trPr>
        <w:tc>
          <w:tcPr>
            <w:tcW w:w="2127" w:type="dxa"/>
            <w:tcBorders>
              <w:top w:val="nil"/>
              <w:left w:val="nil"/>
              <w:bottom w:val="nil"/>
              <w:right w:val="nil"/>
            </w:tcBorders>
            <w:noWrap/>
            <w:vAlign w:val="center"/>
            <w:hideMark/>
          </w:tcPr>
          <w:p w14:paraId="44801DB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13863-2:2007</w:t>
            </w:r>
          </w:p>
        </w:tc>
        <w:tc>
          <w:tcPr>
            <w:tcW w:w="7512" w:type="dxa"/>
            <w:tcBorders>
              <w:top w:val="nil"/>
              <w:left w:val="nil"/>
              <w:bottom w:val="nil"/>
              <w:right w:val="nil"/>
            </w:tcBorders>
            <w:vAlign w:val="center"/>
            <w:hideMark/>
          </w:tcPr>
          <w:p w14:paraId="01FFD48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2: Metoda określania związania pomiędzy dwiema warstwami betonowymi</w:t>
            </w:r>
          </w:p>
        </w:tc>
      </w:tr>
      <w:tr w:rsidR="00282AE9" w:rsidRPr="00282AE9" w14:paraId="343A3EEA" w14:textId="77777777" w:rsidTr="00282AE9">
        <w:trPr>
          <w:trHeight w:val="300"/>
        </w:trPr>
        <w:tc>
          <w:tcPr>
            <w:tcW w:w="2127" w:type="dxa"/>
            <w:tcBorders>
              <w:top w:val="nil"/>
              <w:left w:val="nil"/>
              <w:bottom w:val="nil"/>
              <w:right w:val="nil"/>
            </w:tcBorders>
            <w:noWrap/>
            <w:vAlign w:val="center"/>
            <w:hideMark/>
          </w:tcPr>
          <w:p w14:paraId="071A6E3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13863-3:2007</w:t>
            </w:r>
          </w:p>
        </w:tc>
        <w:tc>
          <w:tcPr>
            <w:tcW w:w="7512" w:type="dxa"/>
            <w:tcBorders>
              <w:top w:val="nil"/>
              <w:left w:val="nil"/>
              <w:bottom w:val="nil"/>
              <w:right w:val="nil"/>
            </w:tcBorders>
            <w:vAlign w:val="center"/>
            <w:hideMark/>
          </w:tcPr>
          <w:p w14:paraId="1C02D8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3: Metoda określania grubości nawierzchni betonowej na podstawie odwiertów</w:t>
            </w:r>
          </w:p>
        </w:tc>
      </w:tr>
      <w:tr w:rsidR="00282AE9" w:rsidRPr="00282AE9" w14:paraId="23EBEDCA" w14:textId="77777777" w:rsidTr="00282AE9">
        <w:trPr>
          <w:trHeight w:val="300"/>
        </w:trPr>
        <w:tc>
          <w:tcPr>
            <w:tcW w:w="2127" w:type="dxa"/>
            <w:tcBorders>
              <w:top w:val="nil"/>
              <w:left w:val="nil"/>
              <w:bottom w:val="nil"/>
              <w:right w:val="nil"/>
            </w:tcBorders>
            <w:noWrap/>
            <w:vAlign w:val="center"/>
            <w:hideMark/>
          </w:tcPr>
          <w:p w14:paraId="398C587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13863-4:2012</w:t>
            </w:r>
          </w:p>
        </w:tc>
        <w:tc>
          <w:tcPr>
            <w:tcW w:w="7512" w:type="dxa"/>
            <w:tcBorders>
              <w:top w:val="nil"/>
              <w:left w:val="nil"/>
              <w:bottom w:val="nil"/>
              <w:right w:val="nil"/>
            </w:tcBorders>
            <w:vAlign w:val="center"/>
            <w:hideMark/>
          </w:tcPr>
          <w:p w14:paraId="582BD08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4: Metody badania z użyciem okołkowanych opon określające odporność na zużycie nawierzchni betonowych</w:t>
            </w:r>
          </w:p>
        </w:tc>
      </w:tr>
      <w:tr w:rsidR="00282AE9" w:rsidRPr="00282AE9" w14:paraId="29EAD94F" w14:textId="77777777" w:rsidTr="00282AE9">
        <w:trPr>
          <w:trHeight w:val="300"/>
        </w:trPr>
        <w:tc>
          <w:tcPr>
            <w:tcW w:w="2127" w:type="dxa"/>
            <w:tcBorders>
              <w:top w:val="nil"/>
              <w:left w:val="nil"/>
              <w:bottom w:val="nil"/>
              <w:right w:val="nil"/>
            </w:tcBorders>
            <w:noWrap/>
            <w:vAlign w:val="center"/>
            <w:hideMark/>
          </w:tcPr>
          <w:p w14:paraId="2D0E25F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13877-1:2013-08</w:t>
            </w:r>
          </w:p>
        </w:tc>
        <w:tc>
          <w:tcPr>
            <w:tcW w:w="7512" w:type="dxa"/>
            <w:tcBorders>
              <w:top w:val="nil"/>
              <w:left w:val="nil"/>
              <w:bottom w:val="nil"/>
              <w:right w:val="nil"/>
            </w:tcBorders>
            <w:vAlign w:val="center"/>
            <w:hideMark/>
          </w:tcPr>
          <w:p w14:paraId="12D253F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1: Materiały</w:t>
            </w:r>
          </w:p>
        </w:tc>
      </w:tr>
      <w:tr w:rsidR="00282AE9" w:rsidRPr="00282AE9" w14:paraId="3316189B" w14:textId="77777777" w:rsidTr="00282AE9">
        <w:trPr>
          <w:trHeight w:val="300"/>
        </w:trPr>
        <w:tc>
          <w:tcPr>
            <w:tcW w:w="2127" w:type="dxa"/>
            <w:tcBorders>
              <w:top w:val="nil"/>
              <w:left w:val="nil"/>
              <w:bottom w:val="nil"/>
              <w:right w:val="nil"/>
            </w:tcBorders>
            <w:noWrap/>
            <w:vAlign w:val="center"/>
            <w:hideMark/>
          </w:tcPr>
          <w:p w14:paraId="319F6B3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13877-2:2013-08</w:t>
            </w:r>
          </w:p>
        </w:tc>
        <w:tc>
          <w:tcPr>
            <w:tcW w:w="7512" w:type="dxa"/>
            <w:tcBorders>
              <w:top w:val="nil"/>
              <w:left w:val="nil"/>
              <w:bottom w:val="nil"/>
              <w:right w:val="nil"/>
            </w:tcBorders>
            <w:vAlign w:val="center"/>
            <w:hideMark/>
          </w:tcPr>
          <w:p w14:paraId="4BE1DE3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2: Wymagania funkcjonalne dla nawierzchni betonowych</w:t>
            </w:r>
          </w:p>
        </w:tc>
      </w:tr>
      <w:tr w:rsidR="00282AE9" w:rsidRPr="00282AE9" w14:paraId="7DB23199" w14:textId="77777777" w:rsidTr="00282AE9">
        <w:trPr>
          <w:trHeight w:val="300"/>
        </w:trPr>
        <w:tc>
          <w:tcPr>
            <w:tcW w:w="2127" w:type="dxa"/>
            <w:tcBorders>
              <w:top w:val="nil"/>
              <w:left w:val="nil"/>
              <w:bottom w:val="nil"/>
              <w:right w:val="nil"/>
            </w:tcBorders>
            <w:noWrap/>
            <w:vAlign w:val="center"/>
            <w:hideMark/>
          </w:tcPr>
          <w:p w14:paraId="71BAB01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13877-3:2007</w:t>
            </w:r>
          </w:p>
        </w:tc>
        <w:tc>
          <w:tcPr>
            <w:tcW w:w="7512" w:type="dxa"/>
            <w:tcBorders>
              <w:top w:val="nil"/>
              <w:left w:val="nil"/>
              <w:bottom w:val="nil"/>
              <w:right w:val="nil"/>
            </w:tcBorders>
            <w:vAlign w:val="center"/>
            <w:hideMark/>
          </w:tcPr>
          <w:p w14:paraId="22038FD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Nawierzchnie betonowe - Część 3: Wymagania dla dybli stosowanych w nawierzchniach drogowych betonowych</w:t>
            </w:r>
          </w:p>
        </w:tc>
      </w:tr>
      <w:tr w:rsidR="00282AE9" w:rsidRPr="00282AE9" w14:paraId="77AADCEA" w14:textId="77777777" w:rsidTr="00282AE9">
        <w:trPr>
          <w:trHeight w:val="300"/>
        </w:trPr>
        <w:tc>
          <w:tcPr>
            <w:tcW w:w="2127" w:type="dxa"/>
            <w:tcBorders>
              <w:top w:val="nil"/>
              <w:left w:val="nil"/>
              <w:bottom w:val="nil"/>
              <w:right w:val="nil"/>
            </w:tcBorders>
            <w:noWrap/>
            <w:vAlign w:val="center"/>
            <w:hideMark/>
          </w:tcPr>
          <w:p w14:paraId="3825BC8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13880-12:2004</w:t>
            </w:r>
          </w:p>
        </w:tc>
        <w:tc>
          <w:tcPr>
            <w:tcW w:w="7512" w:type="dxa"/>
            <w:tcBorders>
              <w:top w:val="nil"/>
              <w:left w:val="nil"/>
              <w:bottom w:val="nil"/>
              <w:right w:val="nil"/>
            </w:tcBorders>
            <w:vAlign w:val="center"/>
            <w:hideMark/>
          </w:tcPr>
          <w:p w14:paraId="1ABD9FD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Zalewy szczelin na gorąco - Część 12: Sposób przygotowania próbnych bloczków betonowych do badania wiązania (metoda recepturowa)</w:t>
            </w:r>
          </w:p>
        </w:tc>
      </w:tr>
      <w:tr w:rsidR="00282AE9" w:rsidRPr="00282AE9" w14:paraId="19880E9F" w14:textId="77777777" w:rsidTr="00282AE9">
        <w:trPr>
          <w:trHeight w:val="300"/>
        </w:trPr>
        <w:tc>
          <w:tcPr>
            <w:tcW w:w="2127" w:type="dxa"/>
            <w:tcBorders>
              <w:top w:val="nil"/>
              <w:left w:val="nil"/>
              <w:bottom w:val="nil"/>
              <w:right w:val="nil"/>
            </w:tcBorders>
            <w:noWrap/>
            <w:vAlign w:val="center"/>
            <w:hideMark/>
          </w:tcPr>
          <w:p w14:paraId="70E9F1F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13894-1:2004</w:t>
            </w:r>
          </w:p>
        </w:tc>
        <w:tc>
          <w:tcPr>
            <w:tcW w:w="7512" w:type="dxa"/>
            <w:tcBorders>
              <w:top w:val="nil"/>
              <w:left w:val="nil"/>
              <w:bottom w:val="nil"/>
              <w:right w:val="nil"/>
            </w:tcBorders>
            <w:vAlign w:val="center"/>
            <w:hideMark/>
          </w:tcPr>
          <w:p w14:paraId="59F4A5C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wytrzymałości zmęczeniowej pod obciążeniem dynamicznym - Część 1: Podczas pielęgnacji</w:t>
            </w:r>
          </w:p>
        </w:tc>
      </w:tr>
      <w:tr w:rsidR="00282AE9" w:rsidRPr="00282AE9" w14:paraId="2AA4FB9B" w14:textId="77777777" w:rsidTr="00282AE9">
        <w:trPr>
          <w:trHeight w:val="300"/>
        </w:trPr>
        <w:tc>
          <w:tcPr>
            <w:tcW w:w="2127" w:type="dxa"/>
            <w:tcBorders>
              <w:top w:val="nil"/>
              <w:left w:val="nil"/>
              <w:bottom w:val="nil"/>
              <w:right w:val="nil"/>
            </w:tcBorders>
            <w:noWrap/>
            <w:vAlign w:val="center"/>
            <w:hideMark/>
          </w:tcPr>
          <w:p w14:paraId="13A5A90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13894-2:2004</w:t>
            </w:r>
          </w:p>
        </w:tc>
        <w:tc>
          <w:tcPr>
            <w:tcW w:w="7512" w:type="dxa"/>
            <w:tcBorders>
              <w:top w:val="nil"/>
              <w:left w:val="nil"/>
              <w:bottom w:val="nil"/>
              <w:right w:val="nil"/>
            </w:tcBorders>
            <w:vAlign w:val="center"/>
            <w:hideMark/>
          </w:tcPr>
          <w:p w14:paraId="55514A8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wytrzymałości zmęczeniowej pod obciążeniem dynamicznym - Część 2: Po utwardzeniu</w:t>
            </w:r>
          </w:p>
        </w:tc>
      </w:tr>
      <w:tr w:rsidR="00282AE9" w:rsidRPr="00282AE9" w14:paraId="70545AC9" w14:textId="77777777" w:rsidTr="00282AE9">
        <w:trPr>
          <w:trHeight w:val="600"/>
        </w:trPr>
        <w:tc>
          <w:tcPr>
            <w:tcW w:w="2127" w:type="dxa"/>
            <w:tcBorders>
              <w:top w:val="nil"/>
              <w:left w:val="nil"/>
              <w:bottom w:val="nil"/>
              <w:right w:val="nil"/>
            </w:tcBorders>
            <w:noWrap/>
            <w:vAlign w:val="center"/>
            <w:hideMark/>
          </w:tcPr>
          <w:p w14:paraId="165525A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13978-1:2005</w:t>
            </w:r>
          </w:p>
        </w:tc>
        <w:tc>
          <w:tcPr>
            <w:tcW w:w="7512" w:type="dxa"/>
            <w:tcBorders>
              <w:top w:val="nil"/>
              <w:left w:val="nil"/>
              <w:bottom w:val="nil"/>
              <w:right w:val="nil"/>
            </w:tcBorders>
            <w:vAlign w:val="center"/>
            <w:hideMark/>
          </w:tcPr>
          <w:p w14:paraId="5B914D6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Prefabrykowane garaże betonowe - Część 1: Wymagania dla żelbetowych garaży monolitycznych lub składających się z pojedynczych sekcji o rozpiętości pomieszczenia</w:t>
            </w:r>
          </w:p>
        </w:tc>
      </w:tr>
      <w:tr w:rsidR="00282AE9" w:rsidRPr="00282AE9" w14:paraId="0411CDDE" w14:textId="77777777" w:rsidTr="00282AE9">
        <w:trPr>
          <w:trHeight w:val="300"/>
        </w:trPr>
        <w:tc>
          <w:tcPr>
            <w:tcW w:w="2127" w:type="dxa"/>
            <w:tcBorders>
              <w:top w:val="nil"/>
              <w:left w:val="nil"/>
              <w:bottom w:val="nil"/>
              <w:right w:val="nil"/>
            </w:tcBorders>
            <w:noWrap/>
            <w:vAlign w:val="center"/>
            <w:hideMark/>
          </w:tcPr>
          <w:p w14:paraId="6F2BCB7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14068:2004</w:t>
            </w:r>
          </w:p>
        </w:tc>
        <w:tc>
          <w:tcPr>
            <w:tcW w:w="7512" w:type="dxa"/>
            <w:tcBorders>
              <w:top w:val="nil"/>
              <w:left w:val="nil"/>
              <w:bottom w:val="nil"/>
              <w:right w:val="nil"/>
            </w:tcBorders>
            <w:vAlign w:val="center"/>
            <w:hideMark/>
          </w:tcPr>
          <w:p w14:paraId="7E28F37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wodoszczelności spękań, wypełnionych iniekcyjnie, bez zmian w betonie</w:t>
            </w:r>
          </w:p>
        </w:tc>
      </w:tr>
      <w:tr w:rsidR="00282AE9" w:rsidRPr="00282AE9" w14:paraId="5C62CBCF" w14:textId="77777777" w:rsidTr="00282AE9">
        <w:trPr>
          <w:trHeight w:val="300"/>
        </w:trPr>
        <w:tc>
          <w:tcPr>
            <w:tcW w:w="2127" w:type="dxa"/>
            <w:tcBorders>
              <w:top w:val="nil"/>
              <w:left w:val="nil"/>
              <w:bottom w:val="nil"/>
              <w:right w:val="nil"/>
            </w:tcBorders>
            <w:noWrap/>
            <w:vAlign w:val="center"/>
            <w:hideMark/>
          </w:tcPr>
          <w:p w14:paraId="3A136DD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14117:2005</w:t>
            </w:r>
          </w:p>
        </w:tc>
        <w:tc>
          <w:tcPr>
            <w:tcW w:w="7512" w:type="dxa"/>
            <w:tcBorders>
              <w:top w:val="nil"/>
              <w:left w:val="nil"/>
              <w:bottom w:val="nil"/>
              <w:right w:val="nil"/>
            </w:tcBorders>
            <w:vAlign w:val="center"/>
            <w:hideMark/>
          </w:tcPr>
          <w:p w14:paraId="16692FF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czasu wyciekania cementowych wyrobów iniekcyjnych</w:t>
            </w:r>
          </w:p>
        </w:tc>
      </w:tr>
      <w:tr w:rsidR="00282AE9" w:rsidRPr="00282AE9" w14:paraId="7A9BAFBE" w14:textId="77777777" w:rsidTr="00282AE9">
        <w:trPr>
          <w:trHeight w:val="600"/>
        </w:trPr>
        <w:tc>
          <w:tcPr>
            <w:tcW w:w="2127" w:type="dxa"/>
            <w:tcBorders>
              <w:top w:val="nil"/>
              <w:left w:val="nil"/>
              <w:bottom w:val="nil"/>
              <w:right w:val="nil"/>
            </w:tcBorders>
            <w:noWrap/>
            <w:vAlign w:val="center"/>
            <w:hideMark/>
          </w:tcPr>
          <w:p w14:paraId="5531A84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14223:2017-05</w:t>
            </w:r>
          </w:p>
        </w:tc>
        <w:tc>
          <w:tcPr>
            <w:tcW w:w="7512" w:type="dxa"/>
            <w:tcBorders>
              <w:top w:val="nil"/>
              <w:left w:val="nil"/>
              <w:bottom w:val="nil"/>
              <w:right w:val="nil"/>
            </w:tcBorders>
            <w:vAlign w:val="center"/>
            <w:hideMark/>
          </w:tcPr>
          <w:p w14:paraId="6D12859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Elastyczne wyroby wodochronne - Izolacja wodochronna betonowych obiektów mostowych i innych powierzchni betonowych przeznaczonych do ruchu pojazdów - Określanie absorpcji wody</w:t>
            </w:r>
          </w:p>
        </w:tc>
      </w:tr>
      <w:tr w:rsidR="00282AE9" w:rsidRPr="00282AE9" w14:paraId="3C701E19" w14:textId="77777777" w:rsidTr="00282AE9">
        <w:trPr>
          <w:trHeight w:val="600"/>
        </w:trPr>
        <w:tc>
          <w:tcPr>
            <w:tcW w:w="2127" w:type="dxa"/>
            <w:tcBorders>
              <w:top w:val="nil"/>
              <w:left w:val="nil"/>
              <w:bottom w:val="nil"/>
              <w:right w:val="nil"/>
            </w:tcBorders>
            <w:noWrap/>
            <w:vAlign w:val="center"/>
            <w:hideMark/>
          </w:tcPr>
          <w:p w14:paraId="41B20DB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14224:2010</w:t>
            </w:r>
          </w:p>
        </w:tc>
        <w:tc>
          <w:tcPr>
            <w:tcW w:w="7512" w:type="dxa"/>
            <w:tcBorders>
              <w:top w:val="nil"/>
              <w:left w:val="nil"/>
              <w:bottom w:val="nil"/>
              <w:right w:val="nil"/>
            </w:tcBorders>
            <w:vAlign w:val="center"/>
            <w:hideMark/>
          </w:tcPr>
          <w:p w14:paraId="66C55C3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Elastyczne wyroby wodochronne - Izolacja wodochronna betonowych płyt pomostów obiektów mostowych i innych powierzchni betonowych przeznaczonych do ruchu pojazdów - Określanie zdolności do zabezpieczania pęknięć w podłożu</w:t>
            </w:r>
          </w:p>
        </w:tc>
      </w:tr>
      <w:tr w:rsidR="00282AE9" w:rsidRPr="00282AE9" w14:paraId="2835F033" w14:textId="77777777" w:rsidTr="00282AE9">
        <w:trPr>
          <w:trHeight w:val="300"/>
        </w:trPr>
        <w:tc>
          <w:tcPr>
            <w:tcW w:w="2127" w:type="dxa"/>
            <w:tcBorders>
              <w:top w:val="nil"/>
              <w:left w:val="nil"/>
              <w:bottom w:val="nil"/>
              <w:right w:val="nil"/>
            </w:tcBorders>
            <w:noWrap/>
            <w:vAlign w:val="center"/>
            <w:hideMark/>
          </w:tcPr>
          <w:p w14:paraId="343F76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14406:2005</w:t>
            </w:r>
          </w:p>
        </w:tc>
        <w:tc>
          <w:tcPr>
            <w:tcW w:w="7512" w:type="dxa"/>
            <w:tcBorders>
              <w:top w:val="nil"/>
              <w:left w:val="nil"/>
              <w:bottom w:val="nil"/>
              <w:right w:val="nil"/>
            </w:tcBorders>
            <w:vAlign w:val="center"/>
            <w:hideMark/>
          </w:tcPr>
          <w:p w14:paraId="01B8C3A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współczynnika rozszerzalności i ocena rozszerzalności</w:t>
            </w:r>
          </w:p>
        </w:tc>
      </w:tr>
      <w:tr w:rsidR="00282AE9" w:rsidRPr="00282AE9" w14:paraId="75437E13" w14:textId="77777777" w:rsidTr="00282AE9">
        <w:trPr>
          <w:trHeight w:val="300"/>
        </w:trPr>
        <w:tc>
          <w:tcPr>
            <w:tcW w:w="2127" w:type="dxa"/>
            <w:tcBorders>
              <w:top w:val="nil"/>
              <w:left w:val="nil"/>
              <w:bottom w:val="nil"/>
              <w:right w:val="nil"/>
            </w:tcBorders>
            <w:noWrap/>
            <w:vAlign w:val="center"/>
            <w:hideMark/>
          </w:tcPr>
          <w:p w14:paraId="384C9F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14474:2005</w:t>
            </w:r>
          </w:p>
        </w:tc>
        <w:tc>
          <w:tcPr>
            <w:tcW w:w="7512" w:type="dxa"/>
            <w:tcBorders>
              <w:top w:val="nil"/>
              <w:left w:val="nil"/>
              <w:bottom w:val="nil"/>
              <w:right w:val="nil"/>
            </w:tcBorders>
            <w:vAlign w:val="center"/>
            <w:hideMark/>
          </w:tcPr>
          <w:p w14:paraId="6E9F6DC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Prefabrykaty betonowe - </w:t>
            </w:r>
            <w:proofErr w:type="spellStart"/>
            <w:r w:rsidRPr="00282AE9">
              <w:rPr>
                <w:rFonts w:eastAsia="Times New Roman" w:cs="Calibri"/>
                <w:color w:val="000000"/>
                <w:lang w:eastAsia="pl-PL"/>
              </w:rPr>
              <w:t>Wiórobeton</w:t>
            </w:r>
            <w:proofErr w:type="spellEnd"/>
            <w:r w:rsidRPr="00282AE9">
              <w:rPr>
                <w:rFonts w:eastAsia="Times New Roman" w:cs="Calibri"/>
                <w:color w:val="000000"/>
                <w:lang w:eastAsia="pl-PL"/>
              </w:rPr>
              <w:t xml:space="preserve"> - Wymagania i metody badań</w:t>
            </w:r>
          </w:p>
        </w:tc>
      </w:tr>
      <w:tr w:rsidR="00282AE9" w:rsidRPr="00282AE9" w14:paraId="7A5D8920" w14:textId="77777777" w:rsidTr="00282AE9">
        <w:trPr>
          <w:trHeight w:val="300"/>
        </w:trPr>
        <w:tc>
          <w:tcPr>
            <w:tcW w:w="2127" w:type="dxa"/>
            <w:tcBorders>
              <w:top w:val="nil"/>
              <w:left w:val="nil"/>
              <w:bottom w:val="nil"/>
              <w:right w:val="nil"/>
            </w:tcBorders>
            <w:noWrap/>
            <w:vAlign w:val="center"/>
            <w:hideMark/>
          </w:tcPr>
          <w:p w14:paraId="394898D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14487-1:2007</w:t>
            </w:r>
          </w:p>
        </w:tc>
        <w:tc>
          <w:tcPr>
            <w:tcW w:w="7512" w:type="dxa"/>
            <w:tcBorders>
              <w:top w:val="nil"/>
              <w:left w:val="nil"/>
              <w:bottom w:val="nil"/>
              <w:right w:val="nil"/>
            </w:tcBorders>
            <w:vAlign w:val="center"/>
            <w:hideMark/>
          </w:tcPr>
          <w:p w14:paraId="311B2B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Beton natryskowy - Część 1: Definicje, wymagania i zgodność</w:t>
            </w:r>
          </w:p>
        </w:tc>
      </w:tr>
      <w:tr w:rsidR="00282AE9" w:rsidRPr="00282AE9" w14:paraId="7EDED82C" w14:textId="77777777" w:rsidTr="00282AE9">
        <w:trPr>
          <w:trHeight w:val="300"/>
        </w:trPr>
        <w:tc>
          <w:tcPr>
            <w:tcW w:w="2127" w:type="dxa"/>
            <w:tcBorders>
              <w:top w:val="nil"/>
              <w:left w:val="nil"/>
              <w:bottom w:val="nil"/>
              <w:right w:val="nil"/>
            </w:tcBorders>
            <w:noWrap/>
            <w:vAlign w:val="center"/>
            <w:hideMark/>
          </w:tcPr>
          <w:p w14:paraId="716287F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14487-2:2007</w:t>
            </w:r>
          </w:p>
        </w:tc>
        <w:tc>
          <w:tcPr>
            <w:tcW w:w="7512" w:type="dxa"/>
            <w:tcBorders>
              <w:top w:val="nil"/>
              <w:left w:val="nil"/>
              <w:bottom w:val="nil"/>
              <w:right w:val="nil"/>
            </w:tcBorders>
            <w:vAlign w:val="center"/>
            <w:hideMark/>
          </w:tcPr>
          <w:p w14:paraId="6C07B60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Beton natryskowy - Część 2: Wykonywanie</w:t>
            </w:r>
          </w:p>
        </w:tc>
      </w:tr>
      <w:tr w:rsidR="00282AE9" w:rsidRPr="00282AE9" w14:paraId="152353A5" w14:textId="77777777" w:rsidTr="00282AE9">
        <w:trPr>
          <w:trHeight w:val="300"/>
        </w:trPr>
        <w:tc>
          <w:tcPr>
            <w:tcW w:w="2127" w:type="dxa"/>
            <w:tcBorders>
              <w:top w:val="nil"/>
              <w:left w:val="nil"/>
              <w:bottom w:val="nil"/>
              <w:right w:val="nil"/>
            </w:tcBorders>
            <w:noWrap/>
            <w:vAlign w:val="center"/>
            <w:hideMark/>
          </w:tcPr>
          <w:p w14:paraId="461801A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14488-1:2008</w:t>
            </w:r>
          </w:p>
        </w:tc>
        <w:tc>
          <w:tcPr>
            <w:tcW w:w="7512" w:type="dxa"/>
            <w:tcBorders>
              <w:top w:val="nil"/>
              <w:left w:val="nil"/>
              <w:bottom w:val="nil"/>
              <w:right w:val="nil"/>
            </w:tcBorders>
            <w:vAlign w:val="center"/>
            <w:hideMark/>
          </w:tcPr>
          <w:p w14:paraId="22042C4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1: Pobieranie próbek mieszanki betonowej i stwardniałego betonu</w:t>
            </w:r>
          </w:p>
        </w:tc>
      </w:tr>
      <w:tr w:rsidR="00282AE9" w:rsidRPr="00282AE9" w14:paraId="474854F6" w14:textId="77777777" w:rsidTr="00282AE9">
        <w:trPr>
          <w:trHeight w:val="300"/>
        </w:trPr>
        <w:tc>
          <w:tcPr>
            <w:tcW w:w="2127" w:type="dxa"/>
            <w:tcBorders>
              <w:top w:val="nil"/>
              <w:left w:val="nil"/>
              <w:bottom w:val="nil"/>
              <w:right w:val="nil"/>
            </w:tcBorders>
            <w:noWrap/>
            <w:vAlign w:val="center"/>
            <w:hideMark/>
          </w:tcPr>
          <w:p w14:paraId="074CAF1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14488-2:2007</w:t>
            </w:r>
          </w:p>
        </w:tc>
        <w:tc>
          <w:tcPr>
            <w:tcW w:w="7512" w:type="dxa"/>
            <w:tcBorders>
              <w:top w:val="nil"/>
              <w:left w:val="nil"/>
              <w:bottom w:val="nil"/>
              <w:right w:val="nil"/>
            </w:tcBorders>
            <w:vAlign w:val="center"/>
            <w:hideMark/>
          </w:tcPr>
          <w:p w14:paraId="23E5F08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2: Wytrzymałość na ściskanie młodego betonu natryskowego</w:t>
            </w:r>
          </w:p>
        </w:tc>
      </w:tr>
      <w:tr w:rsidR="00282AE9" w:rsidRPr="00282AE9" w14:paraId="162EFAC2" w14:textId="77777777" w:rsidTr="00282AE9">
        <w:trPr>
          <w:trHeight w:val="300"/>
        </w:trPr>
        <w:tc>
          <w:tcPr>
            <w:tcW w:w="2127" w:type="dxa"/>
            <w:tcBorders>
              <w:top w:val="nil"/>
              <w:left w:val="nil"/>
              <w:bottom w:val="nil"/>
              <w:right w:val="nil"/>
            </w:tcBorders>
            <w:noWrap/>
            <w:vAlign w:val="center"/>
            <w:hideMark/>
          </w:tcPr>
          <w:p w14:paraId="3CF041E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14488-3:2008</w:t>
            </w:r>
          </w:p>
        </w:tc>
        <w:tc>
          <w:tcPr>
            <w:tcW w:w="7512" w:type="dxa"/>
            <w:tcBorders>
              <w:top w:val="nil"/>
              <w:left w:val="nil"/>
              <w:bottom w:val="nil"/>
              <w:right w:val="nil"/>
            </w:tcBorders>
            <w:vAlign w:val="center"/>
            <w:hideMark/>
          </w:tcPr>
          <w:p w14:paraId="681C066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3: Wytrzymałość na zginanie (przy pierwszym piku, maksymalna i resztkowa) próbek beleczkowych zbrojonych włóknami</w:t>
            </w:r>
          </w:p>
        </w:tc>
      </w:tr>
      <w:tr w:rsidR="00282AE9" w:rsidRPr="00282AE9" w14:paraId="11D0F3BF" w14:textId="77777777" w:rsidTr="00282AE9">
        <w:trPr>
          <w:trHeight w:val="300"/>
        </w:trPr>
        <w:tc>
          <w:tcPr>
            <w:tcW w:w="2127" w:type="dxa"/>
            <w:tcBorders>
              <w:top w:val="nil"/>
              <w:left w:val="nil"/>
              <w:bottom w:val="nil"/>
              <w:right w:val="nil"/>
            </w:tcBorders>
            <w:noWrap/>
            <w:vAlign w:val="center"/>
            <w:hideMark/>
          </w:tcPr>
          <w:p w14:paraId="2356ADA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14488-4+A1:2009</w:t>
            </w:r>
          </w:p>
        </w:tc>
        <w:tc>
          <w:tcPr>
            <w:tcW w:w="7512" w:type="dxa"/>
            <w:tcBorders>
              <w:top w:val="nil"/>
              <w:left w:val="nil"/>
              <w:bottom w:val="nil"/>
              <w:right w:val="nil"/>
            </w:tcBorders>
            <w:vAlign w:val="center"/>
            <w:hideMark/>
          </w:tcPr>
          <w:p w14:paraId="4F51D7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4: Wytrzymałość złącza w odwiertach przy bezpośrednim rozciąganiu</w:t>
            </w:r>
          </w:p>
        </w:tc>
      </w:tr>
      <w:tr w:rsidR="00282AE9" w:rsidRPr="00282AE9" w14:paraId="6BCD9CC3" w14:textId="77777777" w:rsidTr="00282AE9">
        <w:trPr>
          <w:trHeight w:val="300"/>
        </w:trPr>
        <w:tc>
          <w:tcPr>
            <w:tcW w:w="2127" w:type="dxa"/>
            <w:tcBorders>
              <w:top w:val="nil"/>
              <w:left w:val="nil"/>
              <w:bottom w:val="nil"/>
              <w:right w:val="nil"/>
            </w:tcBorders>
            <w:noWrap/>
            <w:vAlign w:val="center"/>
            <w:hideMark/>
          </w:tcPr>
          <w:p w14:paraId="1823AE2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14488-5:2008</w:t>
            </w:r>
          </w:p>
        </w:tc>
        <w:tc>
          <w:tcPr>
            <w:tcW w:w="7512" w:type="dxa"/>
            <w:tcBorders>
              <w:top w:val="nil"/>
              <w:left w:val="nil"/>
              <w:bottom w:val="nil"/>
              <w:right w:val="nil"/>
            </w:tcBorders>
            <w:vAlign w:val="center"/>
            <w:hideMark/>
          </w:tcPr>
          <w:p w14:paraId="2BDD81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5: Oznaczanie zdolności pochłaniania energii przez próbki płyt zbrojonych włóknami</w:t>
            </w:r>
          </w:p>
        </w:tc>
      </w:tr>
      <w:tr w:rsidR="00282AE9" w:rsidRPr="00282AE9" w14:paraId="30C9661F" w14:textId="77777777" w:rsidTr="00282AE9">
        <w:trPr>
          <w:trHeight w:val="300"/>
        </w:trPr>
        <w:tc>
          <w:tcPr>
            <w:tcW w:w="2127" w:type="dxa"/>
            <w:tcBorders>
              <w:top w:val="nil"/>
              <w:left w:val="nil"/>
              <w:bottom w:val="nil"/>
              <w:right w:val="nil"/>
            </w:tcBorders>
            <w:noWrap/>
            <w:vAlign w:val="center"/>
            <w:hideMark/>
          </w:tcPr>
          <w:p w14:paraId="4A03CBD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14488-6:2008</w:t>
            </w:r>
          </w:p>
        </w:tc>
        <w:tc>
          <w:tcPr>
            <w:tcW w:w="7512" w:type="dxa"/>
            <w:tcBorders>
              <w:top w:val="nil"/>
              <w:left w:val="nil"/>
              <w:bottom w:val="nil"/>
              <w:right w:val="nil"/>
            </w:tcBorders>
            <w:vAlign w:val="center"/>
            <w:hideMark/>
          </w:tcPr>
          <w:p w14:paraId="0EB0D43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6: Grubość warstwy betonu na podłożu</w:t>
            </w:r>
          </w:p>
        </w:tc>
      </w:tr>
      <w:tr w:rsidR="00282AE9" w:rsidRPr="00282AE9" w14:paraId="380E1AFE" w14:textId="77777777" w:rsidTr="00282AE9">
        <w:trPr>
          <w:trHeight w:val="300"/>
        </w:trPr>
        <w:tc>
          <w:tcPr>
            <w:tcW w:w="2127" w:type="dxa"/>
            <w:tcBorders>
              <w:top w:val="nil"/>
              <w:left w:val="nil"/>
              <w:bottom w:val="nil"/>
              <w:right w:val="nil"/>
            </w:tcBorders>
            <w:noWrap/>
            <w:vAlign w:val="center"/>
            <w:hideMark/>
          </w:tcPr>
          <w:p w14:paraId="395F729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14488-7:2007</w:t>
            </w:r>
          </w:p>
        </w:tc>
        <w:tc>
          <w:tcPr>
            <w:tcW w:w="7512" w:type="dxa"/>
            <w:tcBorders>
              <w:top w:val="nil"/>
              <w:left w:val="nil"/>
              <w:bottom w:val="nil"/>
              <w:right w:val="nil"/>
            </w:tcBorders>
            <w:vAlign w:val="center"/>
            <w:hideMark/>
          </w:tcPr>
          <w:p w14:paraId="1DBB5DE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Badanie betonu natryskowego - Część 7: Zawartość włókien w betonie zbrojonym włóknami</w:t>
            </w:r>
          </w:p>
        </w:tc>
      </w:tr>
      <w:tr w:rsidR="00282AE9" w:rsidRPr="00282AE9" w14:paraId="0AB42933" w14:textId="77777777" w:rsidTr="00282AE9">
        <w:trPr>
          <w:trHeight w:val="300"/>
        </w:trPr>
        <w:tc>
          <w:tcPr>
            <w:tcW w:w="2127" w:type="dxa"/>
            <w:tcBorders>
              <w:top w:val="nil"/>
              <w:left w:val="nil"/>
              <w:bottom w:val="nil"/>
              <w:right w:val="nil"/>
            </w:tcBorders>
            <w:noWrap/>
            <w:vAlign w:val="center"/>
            <w:hideMark/>
          </w:tcPr>
          <w:p w14:paraId="102E655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14497:2005</w:t>
            </w:r>
          </w:p>
        </w:tc>
        <w:tc>
          <w:tcPr>
            <w:tcW w:w="7512" w:type="dxa"/>
            <w:tcBorders>
              <w:top w:val="nil"/>
              <w:left w:val="nil"/>
              <w:bottom w:val="nil"/>
              <w:right w:val="nil"/>
            </w:tcBorders>
            <w:vAlign w:val="center"/>
            <w:hideMark/>
          </w:tcPr>
          <w:p w14:paraId="5EF2264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stabilności filtrowania</w:t>
            </w:r>
          </w:p>
        </w:tc>
      </w:tr>
      <w:tr w:rsidR="00282AE9" w:rsidRPr="00282AE9" w14:paraId="25C4AD59" w14:textId="77777777" w:rsidTr="00282AE9">
        <w:trPr>
          <w:trHeight w:val="600"/>
        </w:trPr>
        <w:tc>
          <w:tcPr>
            <w:tcW w:w="2127" w:type="dxa"/>
            <w:tcBorders>
              <w:top w:val="nil"/>
              <w:left w:val="nil"/>
              <w:bottom w:val="nil"/>
              <w:right w:val="nil"/>
            </w:tcBorders>
            <w:noWrap/>
            <w:vAlign w:val="center"/>
            <w:hideMark/>
          </w:tcPr>
          <w:p w14:paraId="3C9D391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14498:2005</w:t>
            </w:r>
          </w:p>
        </w:tc>
        <w:tc>
          <w:tcPr>
            <w:tcW w:w="7512" w:type="dxa"/>
            <w:tcBorders>
              <w:top w:val="nil"/>
              <w:left w:val="nil"/>
              <w:bottom w:val="nil"/>
              <w:right w:val="nil"/>
            </w:tcBorders>
            <w:vAlign w:val="center"/>
            <w:hideMark/>
          </w:tcPr>
          <w:p w14:paraId="76A4A7C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Zmiany objętości i masy wyrobów iniekcyjnych po cyklach suszenia w powietrzu i przechowywania w wodzie</w:t>
            </w:r>
          </w:p>
        </w:tc>
      </w:tr>
      <w:tr w:rsidR="00282AE9" w:rsidRPr="00282AE9" w14:paraId="64E8FDAF" w14:textId="77777777" w:rsidTr="00282AE9">
        <w:trPr>
          <w:trHeight w:val="300"/>
        </w:trPr>
        <w:tc>
          <w:tcPr>
            <w:tcW w:w="2127" w:type="dxa"/>
            <w:tcBorders>
              <w:top w:val="nil"/>
              <w:left w:val="nil"/>
              <w:bottom w:val="nil"/>
              <w:right w:val="nil"/>
            </w:tcBorders>
            <w:noWrap/>
            <w:vAlign w:val="center"/>
            <w:hideMark/>
          </w:tcPr>
          <w:p w14:paraId="053AEA2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14629:2008</w:t>
            </w:r>
          </w:p>
        </w:tc>
        <w:tc>
          <w:tcPr>
            <w:tcW w:w="7512" w:type="dxa"/>
            <w:tcBorders>
              <w:top w:val="nil"/>
              <w:left w:val="nil"/>
              <w:bottom w:val="nil"/>
              <w:right w:val="nil"/>
            </w:tcBorders>
            <w:vAlign w:val="center"/>
            <w:hideMark/>
          </w:tcPr>
          <w:p w14:paraId="4035A43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zawartości chlorków w betonie</w:t>
            </w:r>
          </w:p>
        </w:tc>
      </w:tr>
      <w:tr w:rsidR="00282AE9" w:rsidRPr="00282AE9" w14:paraId="62478F79" w14:textId="77777777" w:rsidTr="00282AE9">
        <w:trPr>
          <w:trHeight w:val="300"/>
        </w:trPr>
        <w:tc>
          <w:tcPr>
            <w:tcW w:w="2127" w:type="dxa"/>
            <w:tcBorders>
              <w:top w:val="nil"/>
              <w:left w:val="nil"/>
              <w:bottom w:val="nil"/>
              <w:right w:val="nil"/>
            </w:tcBorders>
            <w:noWrap/>
            <w:vAlign w:val="center"/>
            <w:hideMark/>
          </w:tcPr>
          <w:p w14:paraId="5959158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14630:2007</w:t>
            </w:r>
          </w:p>
        </w:tc>
        <w:tc>
          <w:tcPr>
            <w:tcW w:w="7512" w:type="dxa"/>
            <w:tcBorders>
              <w:top w:val="nil"/>
              <w:left w:val="nil"/>
              <w:bottom w:val="nil"/>
              <w:right w:val="nil"/>
            </w:tcBorders>
            <w:vAlign w:val="center"/>
            <w:hideMark/>
          </w:tcPr>
          <w:p w14:paraId="499B34D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głębokości karbonatyzacji w stwardniałym betonie metodą fenoloftaleinową</w:t>
            </w:r>
          </w:p>
        </w:tc>
      </w:tr>
      <w:tr w:rsidR="00282AE9" w:rsidRPr="00282AE9" w14:paraId="25F908F2" w14:textId="77777777" w:rsidTr="00282AE9">
        <w:trPr>
          <w:trHeight w:val="300"/>
        </w:trPr>
        <w:tc>
          <w:tcPr>
            <w:tcW w:w="2127" w:type="dxa"/>
            <w:tcBorders>
              <w:top w:val="nil"/>
              <w:left w:val="nil"/>
              <w:bottom w:val="nil"/>
              <w:right w:val="nil"/>
            </w:tcBorders>
            <w:noWrap/>
            <w:vAlign w:val="center"/>
            <w:hideMark/>
          </w:tcPr>
          <w:p w14:paraId="6E57ED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14649:2005</w:t>
            </w:r>
          </w:p>
        </w:tc>
        <w:tc>
          <w:tcPr>
            <w:tcW w:w="7512" w:type="dxa"/>
            <w:tcBorders>
              <w:top w:val="nil"/>
              <w:left w:val="nil"/>
              <w:bottom w:val="nil"/>
              <w:right w:val="nil"/>
            </w:tcBorders>
            <w:vAlign w:val="center"/>
            <w:hideMark/>
          </w:tcPr>
          <w:p w14:paraId="3E42DBD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Metoda badania zachowania wytrzymałości włókien szklanych w cemencie i betonie (metoda badania SIC)</w:t>
            </w:r>
          </w:p>
        </w:tc>
      </w:tr>
      <w:tr w:rsidR="00282AE9" w:rsidRPr="00282AE9" w14:paraId="32FE49C5" w14:textId="77777777" w:rsidTr="00282AE9">
        <w:trPr>
          <w:trHeight w:val="300"/>
        </w:trPr>
        <w:tc>
          <w:tcPr>
            <w:tcW w:w="2127" w:type="dxa"/>
            <w:tcBorders>
              <w:top w:val="nil"/>
              <w:left w:val="nil"/>
              <w:bottom w:val="nil"/>
              <w:right w:val="nil"/>
            </w:tcBorders>
            <w:noWrap/>
            <w:vAlign w:val="center"/>
            <w:hideMark/>
          </w:tcPr>
          <w:p w14:paraId="5DD9021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14650:2005</w:t>
            </w:r>
          </w:p>
        </w:tc>
        <w:tc>
          <w:tcPr>
            <w:tcW w:w="7512" w:type="dxa"/>
            <w:tcBorders>
              <w:top w:val="nil"/>
              <w:left w:val="nil"/>
              <w:bottom w:val="nil"/>
              <w:right w:val="nil"/>
            </w:tcBorders>
            <w:vAlign w:val="center"/>
            <w:hideMark/>
          </w:tcPr>
          <w:p w14:paraId="6931B51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Ogólne wymagania dla zakładowej kontroli produkcji betonu zbrojonego włóknem stalowym</w:t>
            </w:r>
          </w:p>
        </w:tc>
      </w:tr>
      <w:tr w:rsidR="00282AE9" w:rsidRPr="00282AE9" w14:paraId="2E1B3644" w14:textId="77777777" w:rsidTr="00282AE9">
        <w:trPr>
          <w:trHeight w:val="300"/>
        </w:trPr>
        <w:tc>
          <w:tcPr>
            <w:tcW w:w="2127" w:type="dxa"/>
            <w:tcBorders>
              <w:top w:val="nil"/>
              <w:left w:val="nil"/>
              <w:bottom w:val="nil"/>
              <w:right w:val="nil"/>
            </w:tcBorders>
            <w:noWrap/>
            <w:vAlign w:val="center"/>
            <w:hideMark/>
          </w:tcPr>
          <w:p w14:paraId="6060C66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14651+A1:2007</w:t>
            </w:r>
          </w:p>
        </w:tc>
        <w:tc>
          <w:tcPr>
            <w:tcW w:w="7512" w:type="dxa"/>
            <w:tcBorders>
              <w:top w:val="nil"/>
              <w:left w:val="nil"/>
              <w:bottom w:val="nil"/>
              <w:right w:val="nil"/>
            </w:tcBorders>
            <w:vAlign w:val="center"/>
            <w:hideMark/>
          </w:tcPr>
          <w:p w14:paraId="7BA96F2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Metoda badania betonu zbrojonego włóknem stalowym - Pomiary wytrzymałości na rozciąganie przy zginaniu (granica proporcjonalności LOP)</w:t>
            </w:r>
          </w:p>
        </w:tc>
      </w:tr>
      <w:tr w:rsidR="00282AE9" w:rsidRPr="00282AE9" w14:paraId="33F9A89A" w14:textId="77777777" w:rsidTr="00282AE9">
        <w:trPr>
          <w:trHeight w:val="300"/>
        </w:trPr>
        <w:tc>
          <w:tcPr>
            <w:tcW w:w="2127" w:type="dxa"/>
            <w:tcBorders>
              <w:top w:val="nil"/>
              <w:left w:val="nil"/>
              <w:bottom w:val="nil"/>
              <w:right w:val="nil"/>
            </w:tcBorders>
            <w:noWrap/>
            <w:vAlign w:val="center"/>
            <w:hideMark/>
          </w:tcPr>
          <w:p w14:paraId="64FDA09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14721+A1:2007</w:t>
            </w:r>
          </w:p>
        </w:tc>
        <w:tc>
          <w:tcPr>
            <w:tcW w:w="7512" w:type="dxa"/>
            <w:tcBorders>
              <w:top w:val="nil"/>
              <w:left w:val="nil"/>
              <w:bottom w:val="nil"/>
              <w:right w:val="nil"/>
            </w:tcBorders>
            <w:vAlign w:val="center"/>
            <w:hideMark/>
          </w:tcPr>
          <w:p w14:paraId="7106FBE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Metoda badania betonu zbrojonego włóknem stalowym - Pomiary zawartości zbrojenia w świeżym i stwardniałym betonie</w:t>
            </w:r>
          </w:p>
        </w:tc>
      </w:tr>
      <w:tr w:rsidR="00282AE9" w:rsidRPr="00282AE9" w14:paraId="715FC77E" w14:textId="77777777" w:rsidTr="00282AE9">
        <w:trPr>
          <w:trHeight w:val="300"/>
        </w:trPr>
        <w:tc>
          <w:tcPr>
            <w:tcW w:w="2127" w:type="dxa"/>
            <w:tcBorders>
              <w:top w:val="nil"/>
              <w:left w:val="nil"/>
              <w:bottom w:val="nil"/>
              <w:right w:val="nil"/>
            </w:tcBorders>
            <w:noWrap/>
            <w:vAlign w:val="center"/>
            <w:hideMark/>
          </w:tcPr>
          <w:p w14:paraId="0BC5E8E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14843:2009</w:t>
            </w:r>
          </w:p>
        </w:tc>
        <w:tc>
          <w:tcPr>
            <w:tcW w:w="7512" w:type="dxa"/>
            <w:tcBorders>
              <w:top w:val="nil"/>
              <w:left w:val="nil"/>
              <w:bottom w:val="nil"/>
              <w:right w:val="nil"/>
            </w:tcBorders>
            <w:vAlign w:val="center"/>
            <w:hideMark/>
          </w:tcPr>
          <w:p w14:paraId="428487F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Schody</w:t>
            </w:r>
          </w:p>
        </w:tc>
      </w:tr>
      <w:tr w:rsidR="00282AE9" w:rsidRPr="00282AE9" w14:paraId="1709282F" w14:textId="77777777" w:rsidTr="00282AE9">
        <w:trPr>
          <w:trHeight w:val="300"/>
        </w:trPr>
        <w:tc>
          <w:tcPr>
            <w:tcW w:w="2127" w:type="dxa"/>
            <w:tcBorders>
              <w:top w:val="nil"/>
              <w:left w:val="nil"/>
              <w:bottom w:val="nil"/>
              <w:right w:val="nil"/>
            </w:tcBorders>
            <w:noWrap/>
            <w:vAlign w:val="center"/>
            <w:hideMark/>
          </w:tcPr>
          <w:p w14:paraId="02752DA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14844+A2:2012</w:t>
            </w:r>
          </w:p>
        </w:tc>
        <w:tc>
          <w:tcPr>
            <w:tcW w:w="7512" w:type="dxa"/>
            <w:tcBorders>
              <w:top w:val="nil"/>
              <w:left w:val="nil"/>
              <w:bottom w:val="nil"/>
              <w:right w:val="nil"/>
            </w:tcBorders>
            <w:vAlign w:val="center"/>
            <w:hideMark/>
          </w:tcPr>
          <w:p w14:paraId="6465235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Przepusty skrzynkowe</w:t>
            </w:r>
          </w:p>
        </w:tc>
      </w:tr>
      <w:tr w:rsidR="00282AE9" w:rsidRPr="00282AE9" w14:paraId="06D3870C" w14:textId="77777777" w:rsidTr="00282AE9">
        <w:trPr>
          <w:trHeight w:val="300"/>
        </w:trPr>
        <w:tc>
          <w:tcPr>
            <w:tcW w:w="2127" w:type="dxa"/>
            <w:tcBorders>
              <w:top w:val="nil"/>
              <w:left w:val="nil"/>
              <w:bottom w:val="nil"/>
              <w:right w:val="nil"/>
            </w:tcBorders>
            <w:noWrap/>
            <w:vAlign w:val="center"/>
            <w:hideMark/>
          </w:tcPr>
          <w:p w14:paraId="5557554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14845-1:2008</w:t>
            </w:r>
          </w:p>
        </w:tc>
        <w:tc>
          <w:tcPr>
            <w:tcW w:w="7512" w:type="dxa"/>
            <w:tcBorders>
              <w:top w:val="nil"/>
              <w:left w:val="nil"/>
              <w:bottom w:val="nil"/>
              <w:right w:val="nil"/>
            </w:tcBorders>
            <w:vAlign w:val="center"/>
            <w:hideMark/>
          </w:tcPr>
          <w:p w14:paraId="1270A7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włókien w betonie - Część 1: Betony wzorcowe</w:t>
            </w:r>
          </w:p>
        </w:tc>
      </w:tr>
      <w:tr w:rsidR="00282AE9" w:rsidRPr="00282AE9" w14:paraId="6E7F4E1B" w14:textId="77777777" w:rsidTr="00282AE9">
        <w:trPr>
          <w:trHeight w:val="300"/>
        </w:trPr>
        <w:tc>
          <w:tcPr>
            <w:tcW w:w="2127" w:type="dxa"/>
            <w:tcBorders>
              <w:top w:val="nil"/>
              <w:left w:val="nil"/>
              <w:bottom w:val="nil"/>
              <w:right w:val="nil"/>
            </w:tcBorders>
            <w:noWrap/>
            <w:vAlign w:val="center"/>
            <w:hideMark/>
          </w:tcPr>
          <w:p w14:paraId="7BF07C4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14845-2:2007</w:t>
            </w:r>
          </w:p>
        </w:tc>
        <w:tc>
          <w:tcPr>
            <w:tcW w:w="7512" w:type="dxa"/>
            <w:tcBorders>
              <w:top w:val="nil"/>
              <w:left w:val="nil"/>
              <w:bottom w:val="nil"/>
              <w:right w:val="nil"/>
            </w:tcBorders>
            <w:vAlign w:val="center"/>
            <w:hideMark/>
          </w:tcPr>
          <w:p w14:paraId="53DD5E8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badania włókien w betonie - Część 2: Efekt oddziaływania na beton</w:t>
            </w:r>
          </w:p>
        </w:tc>
      </w:tr>
      <w:tr w:rsidR="00282AE9" w:rsidRPr="00282AE9" w14:paraId="16FCB104" w14:textId="77777777" w:rsidTr="00282AE9">
        <w:trPr>
          <w:trHeight w:val="600"/>
        </w:trPr>
        <w:tc>
          <w:tcPr>
            <w:tcW w:w="2127" w:type="dxa"/>
            <w:tcBorders>
              <w:top w:val="nil"/>
              <w:left w:val="nil"/>
              <w:bottom w:val="nil"/>
              <w:right w:val="nil"/>
            </w:tcBorders>
            <w:noWrap/>
            <w:vAlign w:val="center"/>
            <w:hideMark/>
          </w:tcPr>
          <w:p w14:paraId="24E45A7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14879-3:2008</w:t>
            </w:r>
          </w:p>
        </w:tc>
        <w:tc>
          <w:tcPr>
            <w:tcW w:w="7512" w:type="dxa"/>
            <w:tcBorders>
              <w:top w:val="nil"/>
              <w:left w:val="nil"/>
              <w:bottom w:val="nil"/>
              <w:right w:val="nil"/>
            </w:tcBorders>
            <w:vAlign w:val="center"/>
            <w:hideMark/>
          </w:tcPr>
          <w:p w14:paraId="676E8BF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Organiczne systemy powłokowe i wykładziny do ochrony aparatury i instalacji przemysłowych przed korozją, powodowaną przez agresywne środowiska - Część 3: Powłoki na elementy betonowe</w:t>
            </w:r>
          </w:p>
        </w:tc>
      </w:tr>
      <w:tr w:rsidR="00282AE9" w:rsidRPr="00282AE9" w14:paraId="1AB82EF9" w14:textId="77777777" w:rsidTr="00282AE9">
        <w:trPr>
          <w:trHeight w:val="600"/>
        </w:trPr>
        <w:tc>
          <w:tcPr>
            <w:tcW w:w="2127" w:type="dxa"/>
            <w:tcBorders>
              <w:top w:val="nil"/>
              <w:left w:val="nil"/>
              <w:bottom w:val="nil"/>
              <w:right w:val="nil"/>
            </w:tcBorders>
            <w:noWrap/>
            <w:vAlign w:val="center"/>
            <w:hideMark/>
          </w:tcPr>
          <w:p w14:paraId="771FACF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14879-5:2009</w:t>
            </w:r>
          </w:p>
        </w:tc>
        <w:tc>
          <w:tcPr>
            <w:tcW w:w="7512" w:type="dxa"/>
            <w:tcBorders>
              <w:top w:val="nil"/>
              <w:left w:val="nil"/>
              <w:bottom w:val="nil"/>
              <w:right w:val="nil"/>
            </w:tcBorders>
            <w:vAlign w:val="center"/>
            <w:hideMark/>
          </w:tcPr>
          <w:p w14:paraId="153B304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Organiczne systemy powłokowe i wykładziny do ochrony aparatury i instalacji przemysłowych przed korozją, powodowaną przez agresywne środowiska - Część 5: Wykładziny na elementy betonowe</w:t>
            </w:r>
          </w:p>
        </w:tc>
      </w:tr>
      <w:tr w:rsidR="00282AE9" w:rsidRPr="00282AE9" w14:paraId="3DE2A094" w14:textId="77777777" w:rsidTr="00282AE9">
        <w:trPr>
          <w:trHeight w:val="300"/>
        </w:trPr>
        <w:tc>
          <w:tcPr>
            <w:tcW w:w="2127" w:type="dxa"/>
            <w:tcBorders>
              <w:top w:val="nil"/>
              <w:left w:val="nil"/>
              <w:bottom w:val="nil"/>
              <w:right w:val="nil"/>
            </w:tcBorders>
            <w:noWrap/>
            <w:vAlign w:val="center"/>
            <w:hideMark/>
          </w:tcPr>
          <w:p w14:paraId="26EEC0C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14889-1:2007</w:t>
            </w:r>
          </w:p>
        </w:tc>
        <w:tc>
          <w:tcPr>
            <w:tcW w:w="7512" w:type="dxa"/>
            <w:tcBorders>
              <w:top w:val="nil"/>
              <w:left w:val="nil"/>
              <w:bottom w:val="nil"/>
              <w:right w:val="nil"/>
            </w:tcBorders>
            <w:vAlign w:val="center"/>
            <w:hideMark/>
          </w:tcPr>
          <w:p w14:paraId="30656BB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Włókna do betonu - Część 1: Włókna stalowe - Definicje, wymagania i zgodność</w:t>
            </w:r>
          </w:p>
        </w:tc>
      </w:tr>
      <w:tr w:rsidR="00282AE9" w:rsidRPr="00282AE9" w14:paraId="04B563C2" w14:textId="77777777" w:rsidTr="00282AE9">
        <w:trPr>
          <w:trHeight w:val="300"/>
        </w:trPr>
        <w:tc>
          <w:tcPr>
            <w:tcW w:w="2127" w:type="dxa"/>
            <w:tcBorders>
              <w:top w:val="nil"/>
              <w:left w:val="nil"/>
              <w:bottom w:val="nil"/>
              <w:right w:val="nil"/>
            </w:tcBorders>
            <w:noWrap/>
            <w:vAlign w:val="center"/>
            <w:hideMark/>
          </w:tcPr>
          <w:p w14:paraId="3A3717B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14889-2:2007</w:t>
            </w:r>
          </w:p>
        </w:tc>
        <w:tc>
          <w:tcPr>
            <w:tcW w:w="7512" w:type="dxa"/>
            <w:tcBorders>
              <w:top w:val="nil"/>
              <w:left w:val="nil"/>
              <w:bottom w:val="nil"/>
              <w:right w:val="nil"/>
            </w:tcBorders>
            <w:vAlign w:val="center"/>
            <w:hideMark/>
          </w:tcPr>
          <w:p w14:paraId="6E95D2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Włókna do betonu - Część 2: Włókna polimerowe - Definicje, wymagania i zgodność</w:t>
            </w:r>
          </w:p>
        </w:tc>
      </w:tr>
      <w:tr w:rsidR="00282AE9" w:rsidRPr="00282AE9" w14:paraId="0372753B" w14:textId="77777777" w:rsidTr="00282AE9">
        <w:trPr>
          <w:trHeight w:val="300"/>
        </w:trPr>
        <w:tc>
          <w:tcPr>
            <w:tcW w:w="2127" w:type="dxa"/>
            <w:tcBorders>
              <w:top w:val="nil"/>
              <w:left w:val="nil"/>
              <w:bottom w:val="nil"/>
              <w:right w:val="nil"/>
            </w:tcBorders>
            <w:noWrap/>
            <w:vAlign w:val="center"/>
            <w:hideMark/>
          </w:tcPr>
          <w:p w14:paraId="3DC0AEB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14991:2010</w:t>
            </w:r>
          </w:p>
        </w:tc>
        <w:tc>
          <w:tcPr>
            <w:tcW w:w="7512" w:type="dxa"/>
            <w:tcBorders>
              <w:top w:val="nil"/>
              <w:left w:val="nil"/>
              <w:bottom w:val="nil"/>
              <w:right w:val="nil"/>
            </w:tcBorders>
            <w:vAlign w:val="center"/>
            <w:hideMark/>
          </w:tcPr>
          <w:p w14:paraId="23FB86E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fundamentów</w:t>
            </w:r>
          </w:p>
        </w:tc>
      </w:tr>
      <w:tr w:rsidR="00282AE9" w:rsidRPr="00282AE9" w14:paraId="39806AAC" w14:textId="77777777" w:rsidTr="00282AE9">
        <w:trPr>
          <w:trHeight w:val="300"/>
        </w:trPr>
        <w:tc>
          <w:tcPr>
            <w:tcW w:w="2127" w:type="dxa"/>
            <w:tcBorders>
              <w:top w:val="nil"/>
              <w:left w:val="nil"/>
              <w:bottom w:val="nil"/>
              <w:right w:val="nil"/>
            </w:tcBorders>
            <w:noWrap/>
            <w:vAlign w:val="center"/>
            <w:hideMark/>
          </w:tcPr>
          <w:p w14:paraId="590805D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14992+A1:2012</w:t>
            </w:r>
          </w:p>
        </w:tc>
        <w:tc>
          <w:tcPr>
            <w:tcW w:w="7512" w:type="dxa"/>
            <w:tcBorders>
              <w:top w:val="nil"/>
              <w:left w:val="nil"/>
              <w:bottom w:val="nil"/>
              <w:right w:val="nil"/>
            </w:tcBorders>
            <w:vAlign w:val="center"/>
            <w:hideMark/>
          </w:tcPr>
          <w:p w14:paraId="23D4E5C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ścian</w:t>
            </w:r>
          </w:p>
        </w:tc>
      </w:tr>
      <w:tr w:rsidR="00282AE9" w:rsidRPr="00282AE9" w14:paraId="0B90EC4B" w14:textId="77777777" w:rsidTr="00282AE9">
        <w:trPr>
          <w:trHeight w:val="300"/>
        </w:trPr>
        <w:tc>
          <w:tcPr>
            <w:tcW w:w="2127" w:type="dxa"/>
            <w:tcBorders>
              <w:top w:val="nil"/>
              <w:left w:val="nil"/>
              <w:bottom w:val="nil"/>
              <w:right w:val="nil"/>
            </w:tcBorders>
            <w:noWrap/>
            <w:vAlign w:val="center"/>
            <w:hideMark/>
          </w:tcPr>
          <w:p w14:paraId="0E891EB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15037-1:2011</w:t>
            </w:r>
          </w:p>
        </w:tc>
        <w:tc>
          <w:tcPr>
            <w:tcW w:w="7512" w:type="dxa"/>
            <w:tcBorders>
              <w:top w:val="nil"/>
              <w:left w:val="nil"/>
              <w:bottom w:val="nil"/>
              <w:right w:val="nil"/>
            </w:tcBorders>
            <w:vAlign w:val="center"/>
            <w:hideMark/>
          </w:tcPr>
          <w:p w14:paraId="3D6CA20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Belkowo-pustakowe systemy stropowe - Część 1: Belki</w:t>
            </w:r>
          </w:p>
        </w:tc>
      </w:tr>
      <w:tr w:rsidR="00282AE9" w:rsidRPr="00282AE9" w14:paraId="5BC32455" w14:textId="77777777" w:rsidTr="00282AE9">
        <w:trPr>
          <w:trHeight w:val="300"/>
        </w:trPr>
        <w:tc>
          <w:tcPr>
            <w:tcW w:w="2127" w:type="dxa"/>
            <w:tcBorders>
              <w:top w:val="nil"/>
              <w:left w:val="nil"/>
              <w:bottom w:val="nil"/>
              <w:right w:val="nil"/>
            </w:tcBorders>
            <w:noWrap/>
            <w:vAlign w:val="center"/>
            <w:hideMark/>
          </w:tcPr>
          <w:p w14:paraId="51C5B57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15037-2+A1:2011</w:t>
            </w:r>
          </w:p>
        </w:tc>
        <w:tc>
          <w:tcPr>
            <w:tcW w:w="7512" w:type="dxa"/>
            <w:tcBorders>
              <w:top w:val="nil"/>
              <w:left w:val="nil"/>
              <w:bottom w:val="nil"/>
              <w:right w:val="nil"/>
            </w:tcBorders>
            <w:vAlign w:val="center"/>
            <w:hideMark/>
          </w:tcPr>
          <w:p w14:paraId="28D057C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Belkowo-pustakowe systemy stropowe - Część 2: Pustaki betonowe</w:t>
            </w:r>
          </w:p>
        </w:tc>
      </w:tr>
      <w:tr w:rsidR="00282AE9" w:rsidRPr="00282AE9" w14:paraId="31AF4C54" w14:textId="77777777" w:rsidTr="00282AE9">
        <w:trPr>
          <w:trHeight w:val="300"/>
        </w:trPr>
        <w:tc>
          <w:tcPr>
            <w:tcW w:w="2127" w:type="dxa"/>
            <w:tcBorders>
              <w:top w:val="nil"/>
              <w:left w:val="nil"/>
              <w:bottom w:val="nil"/>
              <w:right w:val="nil"/>
            </w:tcBorders>
            <w:noWrap/>
            <w:vAlign w:val="center"/>
            <w:hideMark/>
          </w:tcPr>
          <w:p w14:paraId="6855CAE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15037-3+A1:2011</w:t>
            </w:r>
          </w:p>
        </w:tc>
        <w:tc>
          <w:tcPr>
            <w:tcW w:w="7512" w:type="dxa"/>
            <w:tcBorders>
              <w:top w:val="nil"/>
              <w:left w:val="nil"/>
              <w:bottom w:val="nil"/>
              <w:right w:val="nil"/>
            </w:tcBorders>
            <w:vAlign w:val="center"/>
            <w:hideMark/>
          </w:tcPr>
          <w:p w14:paraId="3E572EE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Belkowo-pustakowe systemy stropowe - Część 3: Pustaki ceramiczne</w:t>
            </w:r>
          </w:p>
        </w:tc>
      </w:tr>
      <w:tr w:rsidR="00282AE9" w:rsidRPr="00282AE9" w14:paraId="3ADE831E" w14:textId="77777777" w:rsidTr="00282AE9">
        <w:trPr>
          <w:trHeight w:val="300"/>
        </w:trPr>
        <w:tc>
          <w:tcPr>
            <w:tcW w:w="2127" w:type="dxa"/>
            <w:tcBorders>
              <w:top w:val="nil"/>
              <w:left w:val="nil"/>
              <w:bottom w:val="nil"/>
              <w:right w:val="nil"/>
            </w:tcBorders>
            <w:noWrap/>
            <w:vAlign w:val="center"/>
            <w:hideMark/>
          </w:tcPr>
          <w:p w14:paraId="2D10086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15037-4+A1:2013-10</w:t>
            </w:r>
          </w:p>
        </w:tc>
        <w:tc>
          <w:tcPr>
            <w:tcW w:w="7512" w:type="dxa"/>
            <w:tcBorders>
              <w:top w:val="nil"/>
              <w:left w:val="nil"/>
              <w:bottom w:val="nil"/>
              <w:right w:val="nil"/>
            </w:tcBorders>
            <w:vAlign w:val="center"/>
            <w:hideMark/>
          </w:tcPr>
          <w:p w14:paraId="5B1E779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Belkowo-pustakowe systemy stropowe - Część 4: Bloki styropianowe</w:t>
            </w:r>
          </w:p>
        </w:tc>
      </w:tr>
      <w:tr w:rsidR="00282AE9" w:rsidRPr="00282AE9" w14:paraId="61F85F35" w14:textId="77777777" w:rsidTr="00282AE9">
        <w:trPr>
          <w:trHeight w:val="300"/>
        </w:trPr>
        <w:tc>
          <w:tcPr>
            <w:tcW w:w="2127" w:type="dxa"/>
            <w:tcBorders>
              <w:top w:val="nil"/>
              <w:left w:val="nil"/>
              <w:bottom w:val="nil"/>
              <w:right w:val="nil"/>
            </w:tcBorders>
            <w:noWrap/>
            <w:vAlign w:val="center"/>
            <w:hideMark/>
          </w:tcPr>
          <w:p w14:paraId="0558F6A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15037-5:2013-10</w:t>
            </w:r>
          </w:p>
        </w:tc>
        <w:tc>
          <w:tcPr>
            <w:tcW w:w="7512" w:type="dxa"/>
            <w:tcBorders>
              <w:top w:val="nil"/>
              <w:left w:val="nil"/>
              <w:bottom w:val="nil"/>
              <w:right w:val="nil"/>
            </w:tcBorders>
            <w:vAlign w:val="center"/>
            <w:hideMark/>
          </w:tcPr>
          <w:p w14:paraId="40FA6B6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Belkowo-pustakowe systemy stropowe - Część 5: Lekkie bloki szalunkowe</w:t>
            </w:r>
          </w:p>
        </w:tc>
      </w:tr>
      <w:tr w:rsidR="00282AE9" w:rsidRPr="00282AE9" w14:paraId="14F6BE5F" w14:textId="77777777" w:rsidTr="00282AE9">
        <w:trPr>
          <w:trHeight w:val="300"/>
        </w:trPr>
        <w:tc>
          <w:tcPr>
            <w:tcW w:w="2127" w:type="dxa"/>
            <w:tcBorders>
              <w:top w:val="nil"/>
              <w:left w:val="nil"/>
              <w:bottom w:val="nil"/>
              <w:right w:val="nil"/>
            </w:tcBorders>
            <w:noWrap/>
            <w:vAlign w:val="center"/>
            <w:hideMark/>
          </w:tcPr>
          <w:p w14:paraId="106964F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1504-1:2006</w:t>
            </w:r>
          </w:p>
        </w:tc>
        <w:tc>
          <w:tcPr>
            <w:tcW w:w="7512" w:type="dxa"/>
            <w:tcBorders>
              <w:top w:val="nil"/>
              <w:left w:val="nil"/>
              <w:bottom w:val="nil"/>
              <w:right w:val="nil"/>
            </w:tcBorders>
            <w:vAlign w:val="center"/>
            <w:hideMark/>
          </w:tcPr>
          <w:p w14:paraId="365278F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1: Definicje</w:t>
            </w:r>
          </w:p>
        </w:tc>
      </w:tr>
      <w:tr w:rsidR="00282AE9" w:rsidRPr="00282AE9" w14:paraId="525897B0" w14:textId="77777777" w:rsidTr="00282AE9">
        <w:trPr>
          <w:trHeight w:val="600"/>
        </w:trPr>
        <w:tc>
          <w:tcPr>
            <w:tcW w:w="2127" w:type="dxa"/>
            <w:tcBorders>
              <w:top w:val="nil"/>
              <w:left w:val="nil"/>
              <w:bottom w:val="nil"/>
              <w:right w:val="nil"/>
            </w:tcBorders>
            <w:noWrap/>
            <w:vAlign w:val="center"/>
            <w:hideMark/>
          </w:tcPr>
          <w:p w14:paraId="58F20F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1504-10:2017-12</w:t>
            </w:r>
          </w:p>
        </w:tc>
        <w:tc>
          <w:tcPr>
            <w:tcW w:w="7512" w:type="dxa"/>
            <w:tcBorders>
              <w:top w:val="nil"/>
              <w:left w:val="nil"/>
              <w:bottom w:val="nil"/>
              <w:right w:val="nil"/>
            </w:tcBorders>
            <w:vAlign w:val="center"/>
            <w:hideMark/>
          </w:tcPr>
          <w:p w14:paraId="59594FD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10: Stosowanie wyrobów i systemów na placu budowy oraz sterowanie jakością prac</w:t>
            </w:r>
          </w:p>
        </w:tc>
      </w:tr>
      <w:tr w:rsidR="00282AE9" w:rsidRPr="00282AE9" w14:paraId="2F2EE9DB" w14:textId="77777777" w:rsidTr="00282AE9">
        <w:trPr>
          <w:trHeight w:val="300"/>
        </w:trPr>
        <w:tc>
          <w:tcPr>
            <w:tcW w:w="2127" w:type="dxa"/>
            <w:tcBorders>
              <w:top w:val="nil"/>
              <w:left w:val="nil"/>
              <w:bottom w:val="nil"/>
              <w:right w:val="nil"/>
            </w:tcBorders>
            <w:noWrap/>
            <w:vAlign w:val="center"/>
            <w:hideMark/>
          </w:tcPr>
          <w:p w14:paraId="2BC017B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1504-2:2006</w:t>
            </w:r>
          </w:p>
        </w:tc>
        <w:tc>
          <w:tcPr>
            <w:tcW w:w="7512" w:type="dxa"/>
            <w:tcBorders>
              <w:top w:val="nil"/>
              <w:left w:val="nil"/>
              <w:bottom w:val="nil"/>
              <w:right w:val="nil"/>
            </w:tcBorders>
            <w:vAlign w:val="center"/>
            <w:hideMark/>
          </w:tcPr>
          <w:p w14:paraId="035A02E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2: Systemy ochrony powierzchniowej betonu</w:t>
            </w:r>
          </w:p>
        </w:tc>
      </w:tr>
      <w:tr w:rsidR="00282AE9" w:rsidRPr="00282AE9" w14:paraId="1B478697" w14:textId="77777777" w:rsidTr="00282AE9">
        <w:trPr>
          <w:trHeight w:val="300"/>
        </w:trPr>
        <w:tc>
          <w:tcPr>
            <w:tcW w:w="2127" w:type="dxa"/>
            <w:tcBorders>
              <w:top w:val="nil"/>
              <w:left w:val="nil"/>
              <w:bottom w:val="nil"/>
              <w:right w:val="nil"/>
            </w:tcBorders>
            <w:noWrap/>
            <w:vAlign w:val="center"/>
            <w:hideMark/>
          </w:tcPr>
          <w:p w14:paraId="35CE53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1504-3:2006</w:t>
            </w:r>
          </w:p>
        </w:tc>
        <w:tc>
          <w:tcPr>
            <w:tcW w:w="7512" w:type="dxa"/>
            <w:tcBorders>
              <w:top w:val="nil"/>
              <w:left w:val="nil"/>
              <w:bottom w:val="nil"/>
              <w:right w:val="nil"/>
            </w:tcBorders>
            <w:vAlign w:val="center"/>
            <w:hideMark/>
          </w:tcPr>
          <w:p w14:paraId="4762258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3: Naprawy konstrukcyjne i niekonstrukcyjne</w:t>
            </w:r>
          </w:p>
        </w:tc>
      </w:tr>
      <w:tr w:rsidR="00282AE9" w:rsidRPr="00282AE9" w14:paraId="0BB5BFB2" w14:textId="77777777" w:rsidTr="00282AE9">
        <w:trPr>
          <w:trHeight w:val="300"/>
        </w:trPr>
        <w:tc>
          <w:tcPr>
            <w:tcW w:w="2127" w:type="dxa"/>
            <w:tcBorders>
              <w:top w:val="nil"/>
              <w:left w:val="nil"/>
              <w:bottom w:val="nil"/>
              <w:right w:val="nil"/>
            </w:tcBorders>
            <w:noWrap/>
            <w:vAlign w:val="center"/>
            <w:hideMark/>
          </w:tcPr>
          <w:p w14:paraId="220305B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1504-4:2006</w:t>
            </w:r>
          </w:p>
        </w:tc>
        <w:tc>
          <w:tcPr>
            <w:tcW w:w="7512" w:type="dxa"/>
            <w:tcBorders>
              <w:top w:val="nil"/>
              <w:left w:val="nil"/>
              <w:bottom w:val="nil"/>
              <w:right w:val="nil"/>
            </w:tcBorders>
            <w:vAlign w:val="center"/>
            <w:hideMark/>
          </w:tcPr>
          <w:p w14:paraId="68FEA2B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4: Łączenie konstrukcyjne</w:t>
            </w:r>
          </w:p>
        </w:tc>
      </w:tr>
      <w:tr w:rsidR="00282AE9" w:rsidRPr="00282AE9" w14:paraId="749B4C7C" w14:textId="77777777" w:rsidTr="00282AE9">
        <w:trPr>
          <w:trHeight w:val="300"/>
        </w:trPr>
        <w:tc>
          <w:tcPr>
            <w:tcW w:w="2127" w:type="dxa"/>
            <w:tcBorders>
              <w:top w:val="nil"/>
              <w:left w:val="nil"/>
              <w:bottom w:val="nil"/>
              <w:right w:val="nil"/>
            </w:tcBorders>
            <w:noWrap/>
            <w:vAlign w:val="center"/>
            <w:hideMark/>
          </w:tcPr>
          <w:p w14:paraId="5687C86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1504-5:2013-09</w:t>
            </w:r>
          </w:p>
        </w:tc>
        <w:tc>
          <w:tcPr>
            <w:tcW w:w="7512" w:type="dxa"/>
            <w:tcBorders>
              <w:top w:val="nil"/>
              <w:left w:val="nil"/>
              <w:bottom w:val="nil"/>
              <w:right w:val="nil"/>
            </w:tcBorders>
            <w:vAlign w:val="center"/>
            <w:hideMark/>
          </w:tcPr>
          <w:p w14:paraId="321F44B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5: Iniekcja betonu</w:t>
            </w:r>
          </w:p>
        </w:tc>
      </w:tr>
      <w:tr w:rsidR="00282AE9" w:rsidRPr="00282AE9" w14:paraId="3ECE1886" w14:textId="77777777" w:rsidTr="00282AE9">
        <w:trPr>
          <w:trHeight w:val="300"/>
        </w:trPr>
        <w:tc>
          <w:tcPr>
            <w:tcW w:w="2127" w:type="dxa"/>
            <w:tcBorders>
              <w:top w:val="nil"/>
              <w:left w:val="nil"/>
              <w:bottom w:val="nil"/>
              <w:right w:val="nil"/>
            </w:tcBorders>
            <w:noWrap/>
            <w:vAlign w:val="center"/>
            <w:hideMark/>
          </w:tcPr>
          <w:p w14:paraId="04D2198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1504-6:2007</w:t>
            </w:r>
          </w:p>
        </w:tc>
        <w:tc>
          <w:tcPr>
            <w:tcW w:w="7512" w:type="dxa"/>
            <w:tcBorders>
              <w:top w:val="nil"/>
              <w:left w:val="nil"/>
              <w:bottom w:val="nil"/>
              <w:right w:val="nil"/>
            </w:tcBorders>
            <w:vAlign w:val="center"/>
            <w:hideMark/>
          </w:tcPr>
          <w:p w14:paraId="0B28FF1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Definicje, wymagania, sterowanie jakością i ocena zgodności - Część 6: </w:t>
            </w:r>
            <w:proofErr w:type="spellStart"/>
            <w:r w:rsidRPr="00282AE9">
              <w:rPr>
                <w:rFonts w:eastAsia="Times New Roman" w:cs="Calibri"/>
                <w:color w:val="000000"/>
                <w:lang w:eastAsia="pl-PL"/>
              </w:rPr>
              <w:t>Kotwienie</w:t>
            </w:r>
            <w:proofErr w:type="spellEnd"/>
            <w:r w:rsidRPr="00282AE9">
              <w:rPr>
                <w:rFonts w:eastAsia="Times New Roman" w:cs="Calibri"/>
                <w:color w:val="000000"/>
                <w:lang w:eastAsia="pl-PL"/>
              </w:rPr>
              <w:t xml:space="preserve"> stalowych prętów zbrojeniowych</w:t>
            </w:r>
          </w:p>
        </w:tc>
      </w:tr>
      <w:tr w:rsidR="00282AE9" w:rsidRPr="00282AE9" w14:paraId="503F62A6" w14:textId="77777777" w:rsidTr="00282AE9">
        <w:trPr>
          <w:trHeight w:val="300"/>
        </w:trPr>
        <w:tc>
          <w:tcPr>
            <w:tcW w:w="2127" w:type="dxa"/>
            <w:tcBorders>
              <w:top w:val="nil"/>
              <w:left w:val="nil"/>
              <w:bottom w:val="nil"/>
              <w:right w:val="nil"/>
            </w:tcBorders>
            <w:noWrap/>
            <w:vAlign w:val="center"/>
            <w:hideMark/>
          </w:tcPr>
          <w:p w14:paraId="038FB55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1504-7:2007</w:t>
            </w:r>
          </w:p>
        </w:tc>
        <w:tc>
          <w:tcPr>
            <w:tcW w:w="7512" w:type="dxa"/>
            <w:tcBorders>
              <w:top w:val="nil"/>
              <w:left w:val="nil"/>
              <w:bottom w:val="nil"/>
              <w:right w:val="nil"/>
            </w:tcBorders>
            <w:vAlign w:val="center"/>
            <w:hideMark/>
          </w:tcPr>
          <w:p w14:paraId="3B2D346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7: Ochrona zbrojenia przed korozją</w:t>
            </w:r>
          </w:p>
        </w:tc>
      </w:tr>
      <w:tr w:rsidR="00282AE9" w:rsidRPr="00282AE9" w14:paraId="1A20899D" w14:textId="77777777" w:rsidTr="00282AE9">
        <w:trPr>
          <w:trHeight w:val="600"/>
        </w:trPr>
        <w:tc>
          <w:tcPr>
            <w:tcW w:w="2127" w:type="dxa"/>
            <w:tcBorders>
              <w:top w:val="nil"/>
              <w:left w:val="nil"/>
              <w:bottom w:val="nil"/>
              <w:right w:val="nil"/>
            </w:tcBorders>
            <w:noWrap/>
            <w:vAlign w:val="center"/>
            <w:hideMark/>
          </w:tcPr>
          <w:p w14:paraId="2AB86C5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1504-8:2016-07</w:t>
            </w:r>
          </w:p>
        </w:tc>
        <w:tc>
          <w:tcPr>
            <w:tcW w:w="7512" w:type="dxa"/>
            <w:tcBorders>
              <w:top w:val="nil"/>
              <w:left w:val="nil"/>
              <w:bottom w:val="nil"/>
              <w:right w:val="nil"/>
            </w:tcBorders>
            <w:vAlign w:val="center"/>
            <w:hideMark/>
          </w:tcPr>
          <w:p w14:paraId="0021575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oraz ocena i weryfikacja stałości właściwości użytkowych - Część 8: Sterowanie jakością oraz ocena i weryfikacja stałości właściwości użytkowych</w:t>
            </w:r>
          </w:p>
        </w:tc>
      </w:tr>
      <w:tr w:rsidR="00282AE9" w:rsidRPr="00282AE9" w14:paraId="3920A156" w14:textId="77777777" w:rsidTr="00282AE9">
        <w:trPr>
          <w:trHeight w:val="600"/>
        </w:trPr>
        <w:tc>
          <w:tcPr>
            <w:tcW w:w="2127" w:type="dxa"/>
            <w:tcBorders>
              <w:top w:val="nil"/>
              <w:left w:val="nil"/>
              <w:bottom w:val="nil"/>
              <w:right w:val="nil"/>
            </w:tcBorders>
            <w:noWrap/>
            <w:vAlign w:val="center"/>
            <w:hideMark/>
          </w:tcPr>
          <w:p w14:paraId="6D4BF9D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1504-9:2010</w:t>
            </w:r>
          </w:p>
        </w:tc>
        <w:tc>
          <w:tcPr>
            <w:tcW w:w="7512" w:type="dxa"/>
            <w:tcBorders>
              <w:top w:val="nil"/>
              <w:left w:val="nil"/>
              <w:bottom w:val="nil"/>
              <w:right w:val="nil"/>
            </w:tcBorders>
            <w:vAlign w:val="center"/>
            <w:hideMark/>
          </w:tcPr>
          <w:p w14:paraId="16BBAE7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Definicje, wymagania, sterowanie jakością i ocena zgodności - Część 9: Ogólne zasady dotyczące stosowania wyrobów i systemów</w:t>
            </w:r>
          </w:p>
        </w:tc>
      </w:tr>
      <w:tr w:rsidR="00282AE9" w:rsidRPr="00282AE9" w14:paraId="27228DA7" w14:textId="77777777" w:rsidTr="00282AE9">
        <w:trPr>
          <w:trHeight w:val="300"/>
        </w:trPr>
        <w:tc>
          <w:tcPr>
            <w:tcW w:w="2127" w:type="dxa"/>
            <w:tcBorders>
              <w:top w:val="nil"/>
              <w:left w:val="nil"/>
              <w:bottom w:val="nil"/>
              <w:right w:val="nil"/>
            </w:tcBorders>
            <w:noWrap/>
            <w:vAlign w:val="center"/>
            <w:hideMark/>
          </w:tcPr>
          <w:p w14:paraId="33DA2A1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15167-1:2007</w:t>
            </w:r>
          </w:p>
        </w:tc>
        <w:tc>
          <w:tcPr>
            <w:tcW w:w="7512" w:type="dxa"/>
            <w:tcBorders>
              <w:top w:val="nil"/>
              <w:left w:val="nil"/>
              <w:bottom w:val="nil"/>
              <w:right w:val="nil"/>
            </w:tcBorders>
            <w:vAlign w:val="center"/>
            <w:hideMark/>
          </w:tcPr>
          <w:p w14:paraId="538EC4D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Mielony granulowany żużel wielkopiecowy do stosowania w betonie, zaprawie i zaczynie - Część 1: Definicje, specyfikacje i kryteria zgodności</w:t>
            </w:r>
          </w:p>
        </w:tc>
      </w:tr>
      <w:tr w:rsidR="00282AE9" w:rsidRPr="00282AE9" w14:paraId="333B7B86" w14:textId="77777777" w:rsidTr="00282AE9">
        <w:trPr>
          <w:trHeight w:val="300"/>
        </w:trPr>
        <w:tc>
          <w:tcPr>
            <w:tcW w:w="2127" w:type="dxa"/>
            <w:tcBorders>
              <w:top w:val="nil"/>
              <w:left w:val="nil"/>
              <w:bottom w:val="nil"/>
              <w:right w:val="nil"/>
            </w:tcBorders>
            <w:noWrap/>
            <w:vAlign w:val="center"/>
            <w:hideMark/>
          </w:tcPr>
          <w:p w14:paraId="73A10AD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15167-2:2006</w:t>
            </w:r>
          </w:p>
        </w:tc>
        <w:tc>
          <w:tcPr>
            <w:tcW w:w="7512" w:type="dxa"/>
            <w:tcBorders>
              <w:top w:val="nil"/>
              <w:left w:val="nil"/>
              <w:bottom w:val="nil"/>
              <w:right w:val="nil"/>
            </w:tcBorders>
            <w:vAlign w:val="center"/>
            <w:hideMark/>
          </w:tcPr>
          <w:p w14:paraId="0428FB4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Mielony granulowany żużel wielkopiecowy stosowany do betonu, zaprawy i zaczynu - Część 2: Ocena zgodności</w:t>
            </w:r>
          </w:p>
        </w:tc>
      </w:tr>
      <w:tr w:rsidR="00282AE9" w:rsidRPr="00282AE9" w14:paraId="28E5711A" w14:textId="77777777" w:rsidTr="00282AE9">
        <w:trPr>
          <w:trHeight w:val="300"/>
        </w:trPr>
        <w:tc>
          <w:tcPr>
            <w:tcW w:w="2127" w:type="dxa"/>
            <w:tcBorders>
              <w:top w:val="nil"/>
              <w:left w:val="nil"/>
              <w:bottom w:val="nil"/>
              <w:right w:val="nil"/>
            </w:tcBorders>
            <w:noWrap/>
            <w:vAlign w:val="center"/>
            <w:hideMark/>
          </w:tcPr>
          <w:p w14:paraId="0BFEA32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15183:2007</w:t>
            </w:r>
          </w:p>
        </w:tc>
        <w:tc>
          <w:tcPr>
            <w:tcW w:w="7512" w:type="dxa"/>
            <w:tcBorders>
              <w:top w:val="nil"/>
              <w:left w:val="nil"/>
              <w:bottom w:val="nil"/>
              <w:right w:val="nil"/>
            </w:tcBorders>
            <w:vAlign w:val="center"/>
            <w:hideMark/>
          </w:tcPr>
          <w:p w14:paraId="42C55F4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Badanie ochrony przed korozją</w:t>
            </w:r>
          </w:p>
        </w:tc>
      </w:tr>
      <w:tr w:rsidR="00282AE9" w:rsidRPr="00282AE9" w14:paraId="7F1D0F1D" w14:textId="77777777" w:rsidTr="00282AE9">
        <w:trPr>
          <w:trHeight w:val="300"/>
        </w:trPr>
        <w:tc>
          <w:tcPr>
            <w:tcW w:w="2127" w:type="dxa"/>
            <w:tcBorders>
              <w:top w:val="nil"/>
              <w:left w:val="nil"/>
              <w:bottom w:val="nil"/>
              <w:right w:val="nil"/>
            </w:tcBorders>
            <w:noWrap/>
            <w:vAlign w:val="center"/>
            <w:hideMark/>
          </w:tcPr>
          <w:p w14:paraId="0530B66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15184:2006</w:t>
            </w:r>
          </w:p>
        </w:tc>
        <w:tc>
          <w:tcPr>
            <w:tcW w:w="7512" w:type="dxa"/>
            <w:tcBorders>
              <w:top w:val="nil"/>
              <w:left w:val="nil"/>
              <w:bottom w:val="nil"/>
              <w:right w:val="nil"/>
            </w:tcBorders>
            <w:vAlign w:val="center"/>
            <w:hideMark/>
          </w:tcPr>
          <w:p w14:paraId="38D283F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Przyczepność otulonej stali do betonu przy ścinaniu (badanie wyrywania)</w:t>
            </w:r>
          </w:p>
        </w:tc>
      </w:tr>
      <w:tr w:rsidR="00282AE9" w:rsidRPr="00282AE9" w14:paraId="4F885FE8" w14:textId="77777777" w:rsidTr="00282AE9">
        <w:trPr>
          <w:trHeight w:val="300"/>
        </w:trPr>
        <w:tc>
          <w:tcPr>
            <w:tcW w:w="2127" w:type="dxa"/>
            <w:tcBorders>
              <w:top w:val="nil"/>
              <w:left w:val="nil"/>
              <w:bottom w:val="nil"/>
              <w:right w:val="nil"/>
            </w:tcBorders>
            <w:noWrap/>
            <w:vAlign w:val="center"/>
            <w:hideMark/>
          </w:tcPr>
          <w:p w14:paraId="18D9C5D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15191:2010</w:t>
            </w:r>
          </w:p>
        </w:tc>
        <w:tc>
          <w:tcPr>
            <w:tcW w:w="7512" w:type="dxa"/>
            <w:tcBorders>
              <w:top w:val="nil"/>
              <w:left w:val="nil"/>
              <w:bottom w:val="nil"/>
              <w:right w:val="nil"/>
            </w:tcBorders>
            <w:vAlign w:val="center"/>
            <w:hideMark/>
          </w:tcPr>
          <w:p w14:paraId="7586CD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Klasyfikacja właściwości użytkowych betonu z dodatkiem włókien szklanych</w:t>
            </w:r>
          </w:p>
        </w:tc>
      </w:tr>
      <w:tr w:rsidR="00282AE9" w:rsidRPr="00282AE9" w14:paraId="4D108D26" w14:textId="77777777" w:rsidTr="00282AE9">
        <w:trPr>
          <w:trHeight w:val="300"/>
        </w:trPr>
        <w:tc>
          <w:tcPr>
            <w:tcW w:w="2127" w:type="dxa"/>
            <w:tcBorders>
              <w:top w:val="nil"/>
              <w:left w:val="nil"/>
              <w:bottom w:val="nil"/>
              <w:right w:val="nil"/>
            </w:tcBorders>
            <w:noWrap/>
            <w:vAlign w:val="center"/>
            <w:hideMark/>
          </w:tcPr>
          <w:p w14:paraId="3DD41E6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1520:2011</w:t>
            </w:r>
          </w:p>
        </w:tc>
        <w:tc>
          <w:tcPr>
            <w:tcW w:w="7512" w:type="dxa"/>
            <w:tcBorders>
              <w:top w:val="nil"/>
              <w:left w:val="nil"/>
              <w:bottom w:val="nil"/>
              <w:right w:val="nil"/>
            </w:tcBorders>
            <w:vAlign w:val="center"/>
            <w:hideMark/>
          </w:tcPr>
          <w:p w14:paraId="0D9FF8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Prefabrykowane elementy z betonu lekkiego kruszywowego o otwartej strukturze</w:t>
            </w:r>
          </w:p>
        </w:tc>
      </w:tr>
      <w:tr w:rsidR="00282AE9" w:rsidRPr="00282AE9" w14:paraId="16C1FA13" w14:textId="77777777" w:rsidTr="00282AE9">
        <w:trPr>
          <w:trHeight w:val="300"/>
        </w:trPr>
        <w:tc>
          <w:tcPr>
            <w:tcW w:w="2127" w:type="dxa"/>
            <w:tcBorders>
              <w:top w:val="nil"/>
              <w:left w:val="nil"/>
              <w:bottom w:val="nil"/>
              <w:right w:val="nil"/>
            </w:tcBorders>
            <w:noWrap/>
            <w:vAlign w:val="center"/>
            <w:hideMark/>
          </w:tcPr>
          <w:p w14:paraId="0F03D1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1521:1999</w:t>
            </w:r>
          </w:p>
        </w:tc>
        <w:tc>
          <w:tcPr>
            <w:tcW w:w="7512" w:type="dxa"/>
            <w:tcBorders>
              <w:top w:val="nil"/>
              <w:left w:val="nil"/>
              <w:bottom w:val="nil"/>
              <w:right w:val="nil"/>
            </w:tcBorders>
            <w:vAlign w:val="center"/>
            <w:hideMark/>
          </w:tcPr>
          <w:p w14:paraId="209888B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zginanie betonu lekkiego kruszywowego o otwartej strukturze</w:t>
            </w:r>
          </w:p>
        </w:tc>
      </w:tr>
      <w:tr w:rsidR="00282AE9" w:rsidRPr="00282AE9" w14:paraId="241C7033" w14:textId="77777777" w:rsidTr="00282AE9">
        <w:trPr>
          <w:trHeight w:val="300"/>
        </w:trPr>
        <w:tc>
          <w:tcPr>
            <w:tcW w:w="2127" w:type="dxa"/>
            <w:tcBorders>
              <w:top w:val="nil"/>
              <w:left w:val="nil"/>
              <w:bottom w:val="nil"/>
              <w:right w:val="nil"/>
            </w:tcBorders>
            <w:noWrap/>
            <w:vAlign w:val="center"/>
            <w:hideMark/>
          </w:tcPr>
          <w:p w14:paraId="2AA36EB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15258:2009</w:t>
            </w:r>
          </w:p>
        </w:tc>
        <w:tc>
          <w:tcPr>
            <w:tcW w:w="7512" w:type="dxa"/>
            <w:tcBorders>
              <w:top w:val="nil"/>
              <w:left w:val="nil"/>
              <w:bottom w:val="nil"/>
              <w:right w:val="nil"/>
            </w:tcBorders>
            <w:vAlign w:val="center"/>
            <w:hideMark/>
          </w:tcPr>
          <w:p w14:paraId="5ADB24B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Elementy ścian oporowych</w:t>
            </w:r>
          </w:p>
        </w:tc>
      </w:tr>
      <w:tr w:rsidR="00282AE9" w:rsidRPr="00282AE9" w14:paraId="3DEC8A7C" w14:textId="77777777" w:rsidTr="00282AE9">
        <w:trPr>
          <w:trHeight w:val="300"/>
        </w:trPr>
        <w:tc>
          <w:tcPr>
            <w:tcW w:w="2127" w:type="dxa"/>
            <w:tcBorders>
              <w:top w:val="nil"/>
              <w:left w:val="nil"/>
              <w:bottom w:val="nil"/>
              <w:right w:val="nil"/>
            </w:tcBorders>
            <w:noWrap/>
            <w:vAlign w:val="center"/>
            <w:hideMark/>
          </w:tcPr>
          <w:p w14:paraId="720927B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15304:2010</w:t>
            </w:r>
          </w:p>
        </w:tc>
        <w:tc>
          <w:tcPr>
            <w:tcW w:w="7512" w:type="dxa"/>
            <w:tcBorders>
              <w:top w:val="nil"/>
              <w:left w:val="nil"/>
              <w:bottom w:val="nil"/>
              <w:right w:val="nil"/>
            </w:tcBorders>
            <w:vAlign w:val="center"/>
            <w:hideMark/>
          </w:tcPr>
          <w:p w14:paraId="6444C95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odporności na zamrażanie-rozmrażanie autoklawizowanego betonu komórkowego</w:t>
            </w:r>
          </w:p>
        </w:tc>
      </w:tr>
      <w:tr w:rsidR="00282AE9" w:rsidRPr="00282AE9" w14:paraId="678BF78E" w14:textId="77777777" w:rsidTr="00282AE9">
        <w:trPr>
          <w:trHeight w:val="300"/>
        </w:trPr>
        <w:tc>
          <w:tcPr>
            <w:tcW w:w="2127" w:type="dxa"/>
            <w:tcBorders>
              <w:top w:val="nil"/>
              <w:left w:val="nil"/>
              <w:bottom w:val="nil"/>
              <w:right w:val="nil"/>
            </w:tcBorders>
            <w:noWrap/>
            <w:vAlign w:val="center"/>
            <w:hideMark/>
          </w:tcPr>
          <w:p w14:paraId="3689914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1542:2000</w:t>
            </w:r>
          </w:p>
        </w:tc>
        <w:tc>
          <w:tcPr>
            <w:tcW w:w="7512" w:type="dxa"/>
            <w:tcBorders>
              <w:top w:val="nil"/>
              <w:left w:val="nil"/>
              <w:bottom w:val="nil"/>
              <w:right w:val="nil"/>
            </w:tcBorders>
            <w:vAlign w:val="center"/>
            <w:hideMark/>
          </w:tcPr>
          <w:p w14:paraId="5696857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Pomiar przyczepności przez odrywanie</w:t>
            </w:r>
          </w:p>
        </w:tc>
      </w:tr>
      <w:tr w:rsidR="00282AE9" w:rsidRPr="00282AE9" w14:paraId="686719B0" w14:textId="77777777" w:rsidTr="00282AE9">
        <w:trPr>
          <w:trHeight w:val="300"/>
        </w:trPr>
        <w:tc>
          <w:tcPr>
            <w:tcW w:w="2127" w:type="dxa"/>
            <w:tcBorders>
              <w:top w:val="nil"/>
              <w:left w:val="nil"/>
              <w:bottom w:val="nil"/>
              <w:right w:val="nil"/>
            </w:tcBorders>
            <w:noWrap/>
            <w:vAlign w:val="center"/>
            <w:hideMark/>
          </w:tcPr>
          <w:p w14:paraId="7FA4F90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15422:2008</w:t>
            </w:r>
          </w:p>
        </w:tc>
        <w:tc>
          <w:tcPr>
            <w:tcW w:w="7512" w:type="dxa"/>
            <w:tcBorders>
              <w:top w:val="nil"/>
              <w:left w:val="nil"/>
              <w:bottom w:val="nil"/>
              <w:right w:val="nil"/>
            </w:tcBorders>
            <w:vAlign w:val="center"/>
            <w:hideMark/>
          </w:tcPr>
          <w:p w14:paraId="76F321D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Specyfikacja włókien szklanych do zbrojenia zapraw i betonów</w:t>
            </w:r>
          </w:p>
        </w:tc>
      </w:tr>
      <w:tr w:rsidR="00282AE9" w:rsidRPr="00282AE9" w14:paraId="10D05212" w14:textId="77777777" w:rsidTr="00282AE9">
        <w:trPr>
          <w:trHeight w:val="300"/>
        </w:trPr>
        <w:tc>
          <w:tcPr>
            <w:tcW w:w="2127" w:type="dxa"/>
            <w:tcBorders>
              <w:top w:val="nil"/>
              <w:left w:val="nil"/>
              <w:bottom w:val="nil"/>
              <w:right w:val="nil"/>
            </w:tcBorders>
            <w:noWrap/>
            <w:vAlign w:val="center"/>
            <w:hideMark/>
          </w:tcPr>
          <w:p w14:paraId="56515F4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1543:2000</w:t>
            </w:r>
          </w:p>
        </w:tc>
        <w:tc>
          <w:tcPr>
            <w:tcW w:w="7512" w:type="dxa"/>
            <w:tcBorders>
              <w:top w:val="nil"/>
              <w:left w:val="nil"/>
              <w:bottom w:val="nil"/>
              <w:right w:val="nil"/>
            </w:tcBorders>
            <w:vAlign w:val="center"/>
            <w:hideMark/>
          </w:tcPr>
          <w:p w14:paraId="0AC05D8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narastania wytrzymałości na rozciąganie polimerów</w:t>
            </w:r>
          </w:p>
        </w:tc>
      </w:tr>
      <w:tr w:rsidR="00282AE9" w:rsidRPr="00282AE9" w14:paraId="469F86A7" w14:textId="77777777" w:rsidTr="00282AE9">
        <w:trPr>
          <w:trHeight w:val="300"/>
        </w:trPr>
        <w:tc>
          <w:tcPr>
            <w:tcW w:w="2127" w:type="dxa"/>
            <w:tcBorders>
              <w:top w:val="nil"/>
              <w:left w:val="nil"/>
              <w:bottom w:val="nil"/>
              <w:right w:val="nil"/>
            </w:tcBorders>
            <w:noWrap/>
            <w:vAlign w:val="center"/>
            <w:hideMark/>
          </w:tcPr>
          <w:p w14:paraId="22E92A1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15435:2008</w:t>
            </w:r>
          </w:p>
        </w:tc>
        <w:tc>
          <w:tcPr>
            <w:tcW w:w="7512" w:type="dxa"/>
            <w:tcBorders>
              <w:top w:val="nil"/>
              <w:left w:val="nil"/>
              <w:bottom w:val="nil"/>
              <w:right w:val="nil"/>
            </w:tcBorders>
            <w:vAlign w:val="center"/>
            <w:hideMark/>
          </w:tcPr>
          <w:p w14:paraId="6600C55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Pustaki szalunkowe z betonu zwykłego i lekkiego - Cechy wyrobu i właściwości użytkowe</w:t>
            </w:r>
          </w:p>
        </w:tc>
      </w:tr>
      <w:tr w:rsidR="00282AE9" w:rsidRPr="00282AE9" w14:paraId="3DA9B319" w14:textId="77777777" w:rsidTr="00282AE9">
        <w:trPr>
          <w:trHeight w:val="600"/>
        </w:trPr>
        <w:tc>
          <w:tcPr>
            <w:tcW w:w="2127" w:type="dxa"/>
            <w:tcBorders>
              <w:top w:val="nil"/>
              <w:left w:val="nil"/>
              <w:bottom w:val="nil"/>
              <w:right w:val="nil"/>
            </w:tcBorders>
            <w:noWrap/>
            <w:vAlign w:val="center"/>
            <w:hideMark/>
          </w:tcPr>
          <w:p w14:paraId="70FD8BA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1544:2007</w:t>
            </w:r>
          </w:p>
        </w:tc>
        <w:tc>
          <w:tcPr>
            <w:tcW w:w="7512" w:type="dxa"/>
            <w:tcBorders>
              <w:top w:val="nil"/>
              <w:left w:val="nil"/>
              <w:bottom w:val="nil"/>
              <w:right w:val="nil"/>
            </w:tcBorders>
            <w:vAlign w:val="center"/>
            <w:hideMark/>
          </w:tcPr>
          <w:p w14:paraId="49E3A7D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Oznaczanie pełzania syntetycznych wyrobów żywicznych (PC) przy długotrwałym obciążeniu rozciągającym prętów zbrojeniowych </w:t>
            </w:r>
            <w:proofErr w:type="spellStart"/>
            <w:r w:rsidRPr="00282AE9">
              <w:rPr>
                <w:rFonts w:eastAsia="Times New Roman" w:cs="Calibri"/>
                <w:color w:val="000000"/>
                <w:lang w:eastAsia="pl-PL"/>
              </w:rPr>
              <w:t>kotwienia</w:t>
            </w:r>
            <w:proofErr w:type="spellEnd"/>
          </w:p>
        </w:tc>
      </w:tr>
      <w:tr w:rsidR="00282AE9" w:rsidRPr="00282AE9" w14:paraId="4BEE6CE9" w14:textId="77777777" w:rsidTr="00282AE9">
        <w:trPr>
          <w:trHeight w:val="300"/>
        </w:trPr>
        <w:tc>
          <w:tcPr>
            <w:tcW w:w="2127" w:type="dxa"/>
            <w:tcBorders>
              <w:top w:val="nil"/>
              <w:left w:val="nil"/>
              <w:bottom w:val="nil"/>
              <w:right w:val="nil"/>
            </w:tcBorders>
            <w:noWrap/>
            <w:vAlign w:val="center"/>
            <w:hideMark/>
          </w:tcPr>
          <w:p w14:paraId="3248AC6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15498:2008</w:t>
            </w:r>
          </w:p>
        </w:tc>
        <w:tc>
          <w:tcPr>
            <w:tcW w:w="7512" w:type="dxa"/>
            <w:tcBorders>
              <w:top w:val="nil"/>
              <w:left w:val="nil"/>
              <w:bottom w:val="nil"/>
              <w:right w:val="nil"/>
            </w:tcBorders>
            <w:vAlign w:val="center"/>
            <w:hideMark/>
          </w:tcPr>
          <w:p w14:paraId="290BFC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Prefabrykaty z betonu - Szalunki z </w:t>
            </w:r>
            <w:proofErr w:type="spellStart"/>
            <w:r w:rsidRPr="00282AE9">
              <w:rPr>
                <w:rFonts w:eastAsia="Times New Roman" w:cs="Calibri"/>
                <w:color w:val="000000"/>
                <w:lang w:eastAsia="pl-PL"/>
              </w:rPr>
              <w:t>wiórobetonu</w:t>
            </w:r>
            <w:proofErr w:type="spellEnd"/>
            <w:r w:rsidRPr="00282AE9">
              <w:rPr>
                <w:rFonts w:eastAsia="Times New Roman" w:cs="Calibri"/>
                <w:color w:val="000000"/>
                <w:lang w:eastAsia="pl-PL"/>
              </w:rPr>
              <w:t xml:space="preserve"> - Cechy wyrobu i właściwości użytkowe</w:t>
            </w:r>
          </w:p>
        </w:tc>
      </w:tr>
      <w:tr w:rsidR="00282AE9" w:rsidRPr="00282AE9" w14:paraId="1926F7DE" w14:textId="77777777" w:rsidTr="00282AE9">
        <w:trPr>
          <w:trHeight w:val="300"/>
        </w:trPr>
        <w:tc>
          <w:tcPr>
            <w:tcW w:w="2127" w:type="dxa"/>
            <w:tcBorders>
              <w:top w:val="nil"/>
              <w:left w:val="nil"/>
              <w:bottom w:val="nil"/>
              <w:right w:val="nil"/>
            </w:tcBorders>
            <w:noWrap/>
            <w:vAlign w:val="center"/>
            <w:hideMark/>
          </w:tcPr>
          <w:p w14:paraId="14D50D1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15564:2009</w:t>
            </w:r>
          </w:p>
        </w:tc>
        <w:tc>
          <w:tcPr>
            <w:tcW w:w="7512" w:type="dxa"/>
            <w:tcBorders>
              <w:top w:val="nil"/>
              <w:left w:val="nil"/>
              <w:bottom w:val="nil"/>
              <w:right w:val="nil"/>
            </w:tcBorders>
            <w:vAlign w:val="center"/>
            <w:hideMark/>
          </w:tcPr>
          <w:p w14:paraId="4C6350F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Prefabrykaty z betonu - Beton modyfikowany żywicą - Wymagania i metody badań</w:t>
            </w:r>
          </w:p>
        </w:tc>
      </w:tr>
      <w:tr w:rsidR="00282AE9" w:rsidRPr="00282AE9" w14:paraId="664C6015" w14:textId="77777777" w:rsidTr="00282AE9">
        <w:trPr>
          <w:trHeight w:val="300"/>
        </w:trPr>
        <w:tc>
          <w:tcPr>
            <w:tcW w:w="2127" w:type="dxa"/>
            <w:tcBorders>
              <w:top w:val="nil"/>
              <w:left w:val="nil"/>
              <w:bottom w:val="nil"/>
              <w:right w:val="nil"/>
            </w:tcBorders>
            <w:noWrap/>
            <w:vAlign w:val="center"/>
            <w:hideMark/>
          </w:tcPr>
          <w:p w14:paraId="06FFC01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16622:2016-01</w:t>
            </w:r>
          </w:p>
        </w:tc>
        <w:tc>
          <w:tcPr>
            <w:tcW w:w="7512" w:type="dxa"/>
            <w:tcBorders>
              <w:top w:val="nil"/>
              <w:left w:val="nil"/>
              <w:bottom w:val="nil"/>
              <w:right w:val="nil"/>
            </w:tcBorders>
            <w:vAlign w:val="center"/>
            <w:hideMark/>
          </w:tcPr>
          <w:p w14:paraId="1C78EDE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Pył krzemionkowo-wapienny do betonu - Definicje, wymagania i kryteria zgodności</w:t>
            </w:r>
          </w:p>
        </w:tc>
      </w:tr>
      <w:tr w:rsidR="00282AE9" w:rsidRPr="00282AE9" w14:paraId="6C7B8071" w14:textId="77777777" w:rsidTr="00282AE9">
        <w:trPr>
          <w:trHeight w:val="300"/>
        </w:trPr>
        <w:tc>
          <w:tcPr>
            <w:tcW w:w="2127" w:type="dxa"/>
            <w:tcBorders>
              <w:top w:val="nil"/>
              <w:left w:val="nil"/>
              <w:bottom w:val="nil"/>
              <w:right w:val="nil"/>
            </w:tcBorders>
            <w:noWrap/>
            <w:vAlign w:val="center"/>
            <w:hideMark/>
          </w:tcPr>
          <w:p w14:paraId="1B0EEE4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16757:2017-07</w:t>
            </w:r>
          </w:p>
        </w:tc>
        <w:tc>
          <w:tcPr>
            <w:tcW w:w="7512" w:type="dxa"/>
            <w:tcBorders>
              <w:top w:val="nil"/>
              <w:left w:val="nil"/>
              <w:bottom w:val="nil"/>
              <w:right w:val="nil"/>
            </w:tcBorders>
            <w:vAlign w:val="center"/>
            <w:hideMark/>
          </w:tcPr>
          <w:p w14:paraId="26D8F6A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Zrównoważony charakter robót budowlanych - Środowiskowe deklaracje wyrobu - Zasady Kategoryzacji Wyrobu dla betonu i wyrobów z betonu</w:t>
            </w:r>
          </w:p>
        </w:tc>
      </w:tr>
      <w:tr w:rsidR="00282AE9" w:rsidRPr="00282AE9" w14:paraId="30EA7651" w14:textId="77777777" w:rsidTr="00282AE9">
        <w:trPr>
          <w:trHeight w:val="600"/>
        </w:trPr>
        <w:tc>
          <w:tcPr>
            <w:tcW w:w="2127" w:type="dxa"/>
            <w:tcBorders>
              <w:top w:val="nil"/>
              <w:left w:val="nil"/>
              <w:bottom w:val="nil"/>
              <w:right w:val="nil"/>
            </w:tcBorders>
            <w:noWrap/>
            <w:vAlign w:val="center"/>
            <w:hideMark/>
          </w:tcPr>
          <w:p w14:paraId="58FB611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1737:2000</w:t>
            </w:r>
          </w:p>
        </w:tc>
        <w:tc>
          <w:tcPr>
            <w:tcW w:w="7512" w:type="dxa"/>
            <w:tcBorders>
              <w:top w:val="nil"/>
              <w:left w:val="nil"/>
              <w:bottom w:val="nil"/>
              <w:right w:val="nil"/>
            </w:tcBorders>
            <w:vAlign w:val="center"/>
            <w:hideMark/>
          </w:tcPr>
          <w:p w14:paraId="3EC89AE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ścinanie złączy spawanych i zgrzewanych siatek lub szkieletów zbrojeniowych do prefabrykowanych elementów, wykonanych z autoklawizowanego betonu komórkowego lub betonu lekkiego kruszywowego o otwartej strukturze</w:t>
            </w:r>
          </w:p>
        </w:tc>
      </w:tr>
      <w:tr w:rsidR="00282AE9" w:rsidRPr="00282AE9" w14:paraId="1CC5F99B" w14:textId="77777777" w:rsidTr="00282AE9">
        <w:trPr>
          <w:trHeight w:val="300"/>
        </w:trPr>
        <w:tc>
          <w:tcPr>
            <w:tcW w:w="2127" w:type="dxa"/>
            <w:tcBorders>
              <w:top w:val="nil"/>
              <w:left w:val="nil"/>
              <w:bottom w:val="nil"/>
              <w:right w:val="nil"/>
            </w:tcBorders>
            <w:noWrap/>
            <w:vAlign w:val="center"/>
            <w:hideMark/>
          </w:tcPr>
          <w:p w14:paraId="2DC9CD5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1738:2000</w:t>
            </w:r>
          </w:p>
        </w:tc>
        <w:tc>
          <w:tcPr>
            <w:tcW w:w="7512" w:type="dxa"/>
            <w:tcBorders>
              <w:top w:val="nil"/>
              <w:left w:val="nil"/>
              <w:bottom w:val="nil"/>
              <w:right w:val="nil"/>
            </w:tcBorders>
            <w:vAlign w:val="center"/>
            <w:hideMark/>
          </w:tcPr>
          <w:p w14:paraId="31D6E96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Oznaczanie </w:t>
            </w:r>
            <w:proofErr w:type="spellStart"/>
            <w:r w:rsidRPr="00282AE9">
              <w:rPr>
                <w:rFonts w:eastAsia="Times New Roman" w:cs="Calibri"/>
                <w:color w:val="000000"/>
                <w:lang w:eastAsia="pl-PL"/>
              </w:rPr>
              <w:t>naprężeń</w:t>
            </w:r>
            <w:proofErr w:type="spellEnd"/>
            <w:r w:rsidRPr="00282AE9">
              <w:rPr>
                <w:rFonts w:eastAsia="Times New Roman" w:cs="Calibri"/>
                <w:color w:val="000000"/>
                <w:lang w:eastAsia="pl-PL"/>
              </w:rPr>
              <w:t xml:space="preserve"> w stali w nieobciążonych elementach zbrojonych, wykonanych z autoklawizowanego betonu komórkowego</w:t>
            </w:r>
          </w:p>
        </w:tc>
      </w:tr>
      <w:tr w:rsidR="00282AE9" w:rsidRPr="00282AE9" w14:paraId="302D4670" w14:textId="77777777" w:rsidTr="00282AE9">
        <w:trPr>
          <w:trHeight w:val="600"/>
        </w:trPr>
        <w:tc>
          <w:tcPr>
            <w:tcW w:w="2127" w:type="dxa"/>
            <w:tcBorders>
              <w:top w:val="nil"/>
              <w:left w:val="nil"/>
              <w:bottom w:val="nil"/>
              <w:right w:val="nil"/>
            </w:tcBorders>
            <w:noWrap/>
            <w:vAlign w:val="center"/>
            <w:hideMark/>
          </w:tcPr>
          <w:p w14:paraId="72055E3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1739:2007</w:t>
            </w:r>
          </w:p>
        </w:tc>
        <w:tc>
          <w:tcPr>
            <w:tcW w:w="7512" w:type="dxa"/>
            <w:tcBorders>
              <w:top w:val="nil"/>
              <w:left w:val="nil"/>
              <w:bottom w:val="nil"/>
              <w:right w:val="nil"/>
            </w:tcBorders>
            <w:vAlign w:val="center"/>
            <w:hideMark/>
          </w:tcPr>
          <w:p w14:paraId="52FC329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ścinanie od sił działających w płaszczyźnie złączy pomiędzy prefabrykowanymi elementami, wykonanymi z autoklawizowanego betonu komórkowego lub betonu lekkiego kruszywowego o otwartej strukturze</w:t>
            </w:r>
          </w:p>
        </w:tc>
      </w:tr>
      <w:tr w:rsidR="00282AE9" w:rsidRPr="00282AE9" w14:paraId="517063FF" w14:textId="77777777" w:rsidTr="00282AE9">
        <w:trPr>
          <w:trHeight w:val="600"/>
        </w:trPr>
        <w:tc>
          <w:tcPr>
            <w:tcW w:w="2127" w:type="dxa"/>
            <w:tcBorders>
              <w:top w:val="nil"/>
              <w:left w:val="nil"/>
              <w:bottom w:val="nil"/>
              <w:right w:val="nil"/>
            </w:tcBorders>
            <w:noWrap/>
            <w:vAlign w:val="center"/>
            <w:hideMark/>
          </w:tcPr>
          <w:p w14:paraId="53F3F50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1740:2000</w:t>
            </w:r>
          </w:p>
        </w:tc>
        <w:tc>
          <w:tcPr>
            <w:tcW w:w="7512" w:type="dxa"/>
            <w:tcBorders>
              <w:top w:val="nil"/>
              <w:left w:val="nil"/>
              <w:bottom w:val="nil"/>
              <w:right w:val="nil"/>
            </w:tcBorders>
            <w:vAlign w:val="center"/>
            <w:hideMark/>
          </w:tcPr>
          <w:p w14:paraId="510BEC2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Badania właściwości użytkowych zbrojonych prefabrykowanych elementów, wykonanych z autoklawizowanego betonu komórkowego lub betonu lekkiego kruszywowego o otwartej strukturze, pod obciążeniem głównie pionowym (elementy pionowe)</w:t>
            </w:r>
          </w:p>
        </w:tc>
      </w:tr>
      <w:tr w:rsidR="00282AE9" w:rsidRPr="00282AE9" w14:paraId="0A9A7B53" w14:textId="77777777" w:rsidTr="00282AE9">
        <w:trPr>
          <w:trHeight w:val="600"/>
        </w:trPr>
        <w:tc>
          <w:tcPr>
            <w:tcW w:w="2127" w:type="dxa"/>
            <w:tcBorders>
              <w:top w:val="nil"/>
              <w:left w:val="nil"/>
              <w:bottom w:val="nil"/>
              <w:right w:val="nil"/>
            </w:tcBorders>
            <w:noWrap/>
            <w:vAlign w:val="center"/>
            <w:hideMark/>
          </w:tcPr>
          <w:p w14:paraId="5FB90BD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1741:2000</w:t>
            </w:r>
          </w:p>
        </w:tc>
        <w:tc>
          <w:tcPr>
            <w:tcW w:w="7512" w:type="dxa"/>
            <w:tcBorders>
              <w:top w:val="nil"/>
              <w:left w:val="nil"/>
              <w:bottom w:val="nil"/>
              <w:right w:val="nil"/>
            </w:tcBorders>
            <w:vAlign w:val="center"/>
            <w:hideMark/>
          </w:tcPr>
          <w:p w14:paraId="59075D7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ścinanie od sił nie działających w płaszczyźnie złączy pomiędzy prefabrykowanymi elementami, wykonanymi z autoklawizowanego betonu komórkowego lub betonu lekkiego kruszywowego o otwartej strukturze</w:t>
            </w:r>
          </w:p>
        </w:tc>
      </w:tr>
      <w:tr w:rsidR="00282AE9" w:rsidRPr="00282AE9" w14:paraId="533CA186" w14:textId="77777777" w:rsidTr="00282AE9">
        <w:trPr>
          <w:trHeight w:val="600"/>
        </w:trPr>
        <w:tc>
          <w:tcPr>
            <w:tcW w:w="2127" w:type="dxa"/>
            <w:tcBorders>
              <w:top w:val="nil"/>
              <w:left w:val="nil"/>
              <w:bottom w:val="nil"/>
              <w:right w:val="nil"/>
            </w:tcBorders>
            <w:noWrap/>
            <w:vAlign w:val="center"/>
            <w:hideMark/>
          </w:tcPr>
          <w:p w14:paraId="6379DCB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1742:2000</w:t>
            </w:r>
          </w:p>
        </w:tc>
        <w:tc>
          <w:tcPr>
            <w:tcW w:w="7512" w:type="dxa"/>
            <w:tcBorders>
              <w:top w:val="nil"/>
              <w:left w:val="nil"/>
              <w:bottom w:val="nil"/>
              <w:right w:val="nil"/>
            </w:tcBorders>
            <w:vAlign w:val="center"/>
            <w:hideMark/>
          </w:tcPr>
          <w:p w14:paraId="55164AB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ścinanie pomiędzy różnymi warstwami elementów wielowarstwowych, wykonanych z autoklawizowanego betonu komórkowego lub betonu lekkiego kruszywowego o otwartej strukturze</w:t>
            </w:r>
          </w:p>
        </w:tc>
      </w:tr>
      <w:tr w:rsidR="00282AE9" w:rsidRPr="00282AE9" w14:paraId="242D786D" w14:textId="77777777" w:rsidTr="00282AE9">
        <w:trPr>
          <w:trHeight w:val="300"/>
        </w:trPr>
        <w:tc>
          <w:tcPr>
            <w:tcW w:w="2127" w:type="dxa"/>
            <w:tcBorders>
              <w:top w:val="nil"/>
              <w:left w:val="nil"/>
              <w:bottom w:val="nil"/>
              <w:right w:val="nil"/>
            </w:tcBorders>
            <w:noWrap/>
            <w:vAlign w:val="center"/>
            <w:hideMark/>
          </w:tcPr>
          <w:p w14:paraId="580D6C1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1766:2017-03</w:t>
            </w:r>
          </w:p>
        </w:tc>
        <w:tc>
          <w:tcPr>
            <w:tcW w:w="7512" w:type="dxa"/>
            <w:tcBorders>
              <w:top w:val="nil"/>
              <w:left w:val="nil"/>
              <w:bottom w:val="nil"/>
              <w:right w:val="nil"/>
            </w:tcBorders>
            <w:vAlign w:val="center"/>
            <w:hideMark/>
          </w:tcPr>
          <w:p w14:paraId="15F99DF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Betony wzorcowe do badań</w:t>
            </w:r>
          </w:p>
        </w:tc>
      </w:tr>
      <w:tr w:rsidR="00282AE9" w:rsidRPr="00282AE9" w14:paraId="59564275" w14:textId="77777777" w:rsidTr="00282AE9">
        <w:trPr>
          <w:trHeight w:val="300"/>
        </w:trPr>
        <w:tc>
          <w:tcPr>
            <w:tcW w:w="2127" w:type="dxa"/>
            <w:tcBorders>
              <w:top w:val="nil"/>
              <w:left w:val="nil"/>
              <w:bottom w:val="nil"/>
              <w:right w:val="nil"/>
            </w:tcBorders>
            <w:noWrap/>
            <w:vAlign w:val="center"/>
            <w:hideMark/>
          </w:tcPr>
          <w:p w14:paraId="7F71BED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1767:2008</w:t>
            </w:r>
          </w:p>
        </w:tc>
        <w:tc>
          <w:tcPr>
            <w:tcW w:w="7512" w:type="dxa"/>
            <w:tcBorders>
              <w:top w:val="nil"/>
              <w:left w:val="nil"/>
              <w:bottom w:val="nil"/>
              <w:right w:val="nil"/>
            </w:tcBorders>
            <w:vAlign w:val="center"/>
            <w:hideMark/>
          </w:tcPr>
          <w:p w14:paraId="49B2543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Analiza w podczerwieni</w:t>
            </w:r>
          </w:p>
        </w:tc>
      </w:tr>
      <w:tr w:rsidR="00282AE9" w:rsidRPr="00282AE9" w14:paraId="63A419A7" w14:textId="77777777" w:rsidTr="00282AE9">
        <w:trPr>
          <w:trHeight w:val="300"/>
        </w:trPr>
        <w:tc>
          <w:tcPr>
            <w:tcW w:w="2127" w:type="dxa"/>
            <w:tcBorders>
              <w:top w:val="nil"/>
              <w:left w:val="nil"/>
              <w:bottom w:val="nil"/>
              <w:right w:val="nil"/>
            </w:tcBorders>
            <w:noWrap/>
            <w:vAlign w:val="center"/>
            <w:hideMark/>
          </w:tcPr>
          <w:p w14:paraId="5D40795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1770:2000</w:t>
            </w:r>
          </w:p>
        </w:tc>
        <w:tc>
          <w:tcPr>
            <w:tcW w:w="7512" w:type="dxa"/>
            <w:tcBorders>
              <w:top w:val="nil"/>
              <w:left w:val="nil"/>
              <w:bottom w:val="nil"/>
              <w:right w:val="nil"/>
            </w:tcBorders>
            <w:vAlign w:val="center"/>
            <w:hideMark/>
          </w:tcPr>
          <w:p w14:paraId="0D7BDB9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współczynnika rozszerzalności cieplnej</w:t>
            </w:r>
          </w:p>
        </w:tc>
      </w:tr>
      <w:tr w:rsidR="00282AE9" w:rsidRPr="00282AE9" w14:paraId="04293745" w14:textId="77777777" w:rsidTr="00282AE9">
        <w:trPr>
          <w:trHeight w:val="300"/>
        </w:trPr>
        <w:tc>
          <w:tcPr>
            <w:tcW w:w="2127" w:type="dxa"/>
            <w:tcBorders>
              <w:top w:val="nil"/>
              <w:left w:val="nil"/>
              <w:bottom w:val="nil"/>
              <w:right w:val="nil"/>
            </w:tcBorders>
            <w:noWrap/>
            <w:vAlign w:val="center"/>
            <w:hideMark/>
          </w:tcPr>
          <w:p w14:paraId="297907C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1771:2005</w:t>
            </w:r>
          </w:p>
        </w:tc>
        <w:tc>
          <w:tcPr>
            <w:tcW w:w="7512" w:type="dxa"/>
            <w:tcBorders>
              <w:top w:val="nil"/>
              <w:left w:val="nil"/>
              <w:bottom w:val="nil"/>
              <w:right w:val="nil"/>
            </w:tcBorders>
            <w:vAlign w:val="center"/>
            <w:hideMark/>
          </w:tcPr>
          <w:p w14:paraId="232CAE5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Oznaczanie iniekcyjności z zastosowaniem warstwy piasku</w:t>
            </w:r>
          </w:p>
        </w:tc>
      </w:tr>
      <w:tr w:rsidR="00282AE9" w:rsidRPr="00282AE9" w14:paraId="78767B86" w14:textId="77777777" w:rsidTr="00282AE9">
        <w:trPr>
          <w:trHeight w:val="600"/>
        </w:trPr>
        <w:tc>
          <w:tcPr>
            <w:tcW w:w="2127" w:type="dxa"/>
            <w:tcBorders>
              <w:top w:val="nil"/>
              <w:left w:val="nil"/>
              <w:bottom w:val="nil"/>
              <w:right w:val="nil"/>
            </w:tcBorders>
            <w:noWrap/>
            <w:vAlign w:val="center"/>
            <w:hideMark/>
          </w:tcPr>
          <w:p w14:paraId="3C3A089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1799:2000</w:t>
            </w:r>
          </w:p>
        </w:tc>
        <w:tc>
          <w:tcPr>
            <w:tcW w:w="7512" w:type="dxa"/>
            <w:tcBorders>
              <w:top w:val="nil"/>
              <w:left w:val="nil"/>
              <w:bottom w:val="nil"/>
              <w:right w:val="nil"/>
            </w:tcBorders>
            <w:vAlign w:val="center"/>
            <w:hideMark/>
          </w:tcPr>
          <w:p w14:paraId="196951D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 konstrukcji betonowych - Metody badań - Badanie przydatności konstrukcyjnych materiałów klejących do stosowania na powierzchniach betonowych</w:t>
            </w:r>
          </w:p>
        </w:tc>
      </w:tr>
      <w:tr w:rsidR="00282AE9" w:rsidRPr="00282AE9" w14:paraId="6302C1CC" w14:textId="77777777" w:rsidTr="00282AE9">
        <w:trPr>
          <w:trHeight w:val="300"/>
        </w:trPr>
        <w:tc>
          <w:tcPr>
            <w:tcW w:w="2127" w:type="dxa"/>
            <w:tcBorders>
              <w:top w:val="nil"/>
              <w:left w:val="nil"/>
              <w:bottom w:val="nil"/>
              <w:right w:val="nil"/>
            </w:tcBorders>
            <w:noWrap/>
            <w:vAlign w:val="center"/>
            <w:hideMark/>
          </w:tcPr>
          <w:p w14:paraId="746DC7A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1857:2010</w:t>
            </w:r>
          </w:p>
        </w:tc>
        <w:tc>
          <w:tcPr>
            <w:tcW w:w="7512" w:type="dxa"/>
            <w:tcBorders>
              <w:top w:val="nil"/>
              <w:left w:val="nil"/>
              <w:bottom w:val="nil"/>
              <w:right w:val="nil"/>
            </w:tcBorders>
            <w:vAlign w:val="center"/>
            <w:hideMark/>
          </w:tcPr>
          <w:p w14:paraId="3290406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Kominy - Części składowe - Betonowe kanały wewnętrzne</w:t>
            </w:r>
          </w:p>
        </w:tc>
      </w:tr>
      <w:tr w:rsidR="00282AE9" w:rsidRPr="00282AE9" w14:paraId="76567E32" w14:textId="77777777" w:rsidTr="00282AE9">
        <w:trPr>
          <w:trHeight w:val="300"/>
        </w:trPr>
        <w:tc>
          <w:tcPr>
            <w:tcW w:w="2127" w:type="dxa"/>
            <w:tcBorders>
              <w:top w:val="nil"/>
              <w:left w:val="nil"/>
              <w:bottom w:val="nil"/>
              <w:right w:val="nil"/>
            </w:tcBorders>
            <w:noWrap/>
            <w:vAlign w:val="center"/>
            <w:hideMark/>
          </w:tcPr>
          <w:p w14:paraId="7BD192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1858+A1:2011</w:t>
            </w:r>
          </w:p>
        </w:tc>
        <w:tc>
          <w:tcPr>
            <w:tcW w:w="7512" w:type="dxa"/>
            <w:tcBorders>
              <w:top w:val="nil"/>
              <w:left w:val="nil"/>
              <w:bottom w:val="nil"/>
              <w:right w:val="nil"/>
            </w:tcBorders>
            <w:vAlign w:val="center"/>
            <w:hideMark/>
          </w:tcPr>
          <w:p w14:paraId="31FDF2C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Kominy - Części składowe - Kształtki betonowe</w:t>
            </w:r>
          </w:p>
        </w:tc>
      </w:tr>
      <w:tr w:rsidR="00282AE9" w:rsidRPr="00282AE9" w14:paraId="4787048C" w14:textId="77777777" w:rsidTr="00282AE9">
        <w:trPr>
          <w:trHeight w:val="600"/>
        </w:trPr>
        <w:tc>
          <w:tcPr>
            <w:tcW w:w="2127" w:type="dxa"/>
            <w:tcBorders>
              <w:top w:val="nil"/>
              <w:left w:val="nil"/>
              <w:bottom w:val="nil"/>
              <w:right w:val="nil"/>
            </w:tcBorders>
            <w:noWrap/>
            <w:vAlign w:val="center"/>
            <w:hideMark/>
          </w:tcPr>
          <w:p w14:paraId="6F344B2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1877-1:2002</w:t>
            </w:r>
          </w:p>
        </w:tc>
        <w:tc>
          <w:tcPr>
            <w:tcW w:w="7512" w:type="dxa"/>
            <w:tcBorders>
              <w:top w:val="nil"/>
              <w:left w:val="nil"/>
              <w:bottom w:val="nil"/>
              <w:right w:val="nil"/>
            </w:tcBorders>
            <w:vAlign w:val="center"/>
            <w:hideMark/>
          </w:tcPr>
          <w:p w14:paraId="4435303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naprawy konstrukcji betonowych - Metody badań - Reakcyjne działanie związane z żywicami epoksydowymi - Część 1: Oznaczanie równoważnika epoksydowego</w:t>
            </w:r>
          </w:p>
        </w:tc>
      </w:tr>
      <w:tr w:rsidR="00282AE9" w:rsidRPr="00282AE9" w14:paraId="55C00F74" w14:textId="77777777" w:rsidTr="00282AE9">
        <w:trPr>
          <w:trHeight w:val="600"/>
        </w:trPr>
        <w:tc>
          <w:tcPr>
            <w:tcW w:w="2127" w:type="dxa"/>
            <w:tcBorders>
              <w:top w:val="nil"/>
              <w:left w:val="nil"/>
              <w:bottom w:val="nil"/>
              <w:right w:val="nil"/>
            </w:tcBorders>
            <w:noWrap/>
            <w:vAlign w:val="center"/>
            <w:hideMark/>
          </w:tcPr>
          <w:p w14:paraId="21C6378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1877-2:2002</w:t>
            </w:r>
          </w:p>
        </w:tc>
        <w:tc>
          <w:tcPr>
            <w:tcW w:w="7512" w:type="dxa"/>
            <w:tcBorders>
              <w:top w:val="nil"/>
              <w:left w:val="nil"/>
              <w:bottom w:val="nil"/>
              <w:right w:val="nil"/>
            </w:tcBorders>
            <w:vAlign w:val="center"/>
            <w:hideMark/>
          </w:tcPr>
          <w:p w14:paraId="4C4D8A5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Wyroby i systemy do ochrony i naprawy konstrukcji betonowych - Metody badań - Reakcyjne działanie związane z żywicami epoksydowymi - Część 2: Oznaczanie funkcji aminowych o całkowitej liczbie zasadowości</w:t>
            </w:r>
          </w:p>
        </w:tc>
      </w:tr>
      <w:tr w:rsidR="00282AE9" w:rsidRPr="00282AE9" w14:paraId="5880DD25" w14:textId="77777777" w:rsidTr="00282AE9">
        <w:trPr>
          <w:trHeight w:val="300"/>
        </w:trPr>
        <w:tc>
          <w:tcPr>
            <w:tcW w:w="2127" w:type="dxa"/>
            <w:tcBorders>
              <w:top w:val="nil"/>
              <w:left w:val="nil"/>
              <w:bottom w:val="nil"/>
              <w:right w:val="nil"/>
            </w:tcBorders>
            <w:noWrap/>
            <w:vAlign w:val="center"/>
            <w:hideMark/>
          </w:tcPr>
          <w:p w14:paraId="441DC0A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1881:2007</w:t>
            </w:r>
          </w:p>
        </w:tc>
        <w:tc>
          <w:tcPr>
            <w:tcW w:w="7512" w:type="dxa"/>
            <w:tcBorders>
              <w:top w:val="nil"/>
              <w:left w:val="nil"/>
              <w:bottom w:val="nil"/>
              <w:right w:val="nil"/>
            </w:tcBorders>
            <w:vAlign w:val="center"/>
            <w:hideMark/>
          </w:tcPr>
          <w:p w14:paraId="4475065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Wyroby i systemy do ochrony i napraw konstrukcji betonowych - Metody badań - </w:t>
            </w:r>
            <w:r w:rsidRPr="00282AE9">
              <w:rPr>
                <w:rFonts w:eastAsia="Times New Roman" w:cs="Calibri"/>
                <w:color w:val="000000"/>
                <w:lang w:eastAsia="pl-PL"/>
              </w:rPr>
              <w:lastRenderedPageBreak/>
              <w:t>Badanie wyrobów kotwiących metodą wyrywania</w:t>
            </w:r>
          </w:p>
        </w:tc>
      </w:tr>
      <w:tr w:rsidR="00282AE9" w:rsidRPr="00282AE9" w14:paraId="2136F54C" w14:textId="77777777" w:rsidTr="00282AE9">
        <w:trPr>
          <w:trHeight w:val="300"/>
        </w:trPr>
        <w:tc>
          <w:tcPr>
            <w:tcW w:w="2127" w:type="dxa"/>
            <w:tcBorders>
              <w:top w:val="nil"/>
              <w:left w:val="nil"/>
              <w:bottom w:val="nil"/>
              <w:right w:val="nil"/>
            </w:tcBorders>
            <w:noWrap/>
            <w:vAlign w:val="center"/>
            <w:hideMark/>
          </w:tcPr>
          <w:p w14:paraId="62B0AE5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206+A2:2021-08</w:t>
            </w:r>
          </w:p>
        </w:tc>
        <w:tc>
          <w:tcPr>
            <w:tcW w:w="7512" w:type="dxa"/>
            <w:tcBorders>
              <w:top w:val="nil"/>
              <w:left w:val="nil"/>
              <w:bottom w:val="nil"/>
              <w:right w:val="nil"/>
            </w:tcBorders>
            <w:vAlign w:val="center"/>
            <w:hideMark/>
          </w:tcPr>
          <w:p w14:paraId="2F1DB1B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Beton - Wymagania, właściwości użytkowe, produkcja i zgodność</w:t>
            </w:r>
          </w:p>
        </w:tc>
      </w:tr>
      <w:tr w:rsidR="00282AE9" w:rsidRPr="00282AE9" w14:paraId="00407092" w14:textId="77777777" w:rsidTr="00282AE9">
        <w:trPr>
          <w:trHeight w:val="300"/>
        </w:trPr>
        <w:tc>
          <w:tcPr>
            <w:tcW w:w="2127" w:type="dxa"/>
            <w:tcBorders>
              <w:top w:val="nil"/>
              <w:left w:val="nil"/>
              <w:bottom w:val="nil"/>
              <w:right w:val="nil"/>
            </w:tcBorders>
            <w:noWrap/>
            <w:vAlign w:val="center"/>
            <w:hideMark/>
          </w:tcPr>
          <w:p w14:paraId="546D333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450-1:2012</w:t>
            </w:r>
          </w:p>
        </w:tc>
        <w:tc>
          <w:tcPr>
            <w:tcW w:w="7512" w:type="dxa"/>
            <w:tcBorders>
              <w:top w:val="nil"/>
              <w:left w:val="nil"/>
              <w:bottom w:val="nil"/>
              <w:right w:val="nil"/>
            </w:tcBorders>
            <w:vAlign w:val="center"/>
            <w:hideMark/>
          </w:tcPr>
          <w:p w14:paraId="7C5266D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Popiół lotny do betonu - Część 1: Definicje, specyfikacje i kryteria zgodności</w:t>
            </w:r>
          </w:p>
        </w:tc>
      </w:tr>
      <w:tr w:rsidR="00282AE9" w:rsidRPr="00282AE9" w14:paraId="67E07DC7" w14:textId="77777777" w:rsidTr="00282AE9">
        <w:trPr>
          <w:trHeight w:val="300"/>
        </w:trPr>
        <w:tc>
          <w:tcPr>
            <w:tcW w:w="2127" w:type="dxa"/>
            <w:tcBorders>
              <w:top w:val="nil"/>
              <w:left w:val="nil"/>
              <w:bottom w:val="nil"/>
              <w:right w:val="nil"/>
            </w:tcBorders>
            <w:noWrap/>
            <w:vAlign w:val="center"/>
            <w:hideMark/>
          </w:tcPr>
          <w:p w14:paraId="432B4D8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450-2:2006</w:t>
            </w:r>
          </w:p>
        </w:tc>
        <w:tc>
          <w:tcPr>
            <w:tcW w:w="7512" w:type="dxa"/>
            <w:tcBorders>
              <w:top w:val="nil"/>
              <w:left w:val="nil"/>
              <w:bottom w:val="nil"/>
              <w:right w:val="nil"/>
            </w:tcBorders>
            <w:vAlign w:val="center"/>
            <w:hideMark/>
          </w:tcPr>
          <w:p w14:paraId="6F493E1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Popiół lotny do betonu - Część 2: Ocena zgodności</w:t>
            </w:r>
          </w:p>
        </w:tc>
      </w:tr>
      <w:tr w:rsidR="00282AE9" w:rsidRPr="00282AE9" w14:paraId="3FE540CE" w14:textId="77777777" w:rsidTr="00282AE9">
        <w:trPr>
          <w:trHeight w:val="300"/>
        </w:trPr>
        <w:tc>
          <w:tcPr>
            <w:tcW w:w="2127" w:type="dxa"/>
            <w:tcBorders>
              <w:top w:val="nil"/>
              <w:left w:val="nil"/>
              <w:bottom w:val="nil"/>
              <w:right w:val="nil"/>
            </w:tcBorders>
            <w:noWrap/>
            <w:vAlign w:val="center"/>
            <w:hideMark/>
          </w:tcPr>
          <w:p w14:paraId="2A4631C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480-1:2014-12</w:t>
            </w:r>
          </w:p>
        </w:tc>
        <w:tc>
          <w:tcPr>
            <w:tcW w:w="7512" w:type="dxa"/>
            <w:tcBorders>
              <w:top w:val="nil"/>
              <w:left w:val="nil"/>
              <w:bottom w:val="nil"/>
              <w:right w:val="nil"/>
            </w:tcBorders>
            <w:vAlign w:val="center"/>
            <w:hideMark/>
          </w:tcPr>
          <w:p w14:paraId="61EF999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 Beton wzorcowy i zaprawa wzorcowa do badania</w:t>
            </w:r>
          </w:p>
        </w:tc>
      </w:tr>
      <w:tr w:rsidR="00282AE9" w:rsidRPr="00282AE9" w14:paraId="7F7653BD" w14:textId="77777777" w:rsidTr="00282AE9">
        <w:trPr>
          <w:trHeight w:val="300"/>
        </w:trPr>
        <w:tc>
          <w:tcPr>
            <w:tcW w:w="2127" w:type="dxa"/>
            <w:tcBorders>
              <w:top w:val="nil"/>
              <w:left w:val="nil"/>
              <w:bottom w:val="nil"/>
              <w:right w:val="nil"/>
            </w:tcBorders>
            <w:noWrap/>
            <w:vAlign w:val="center"/>
            <w:hideMark/>
          </w:tcPr>
          <w:p w14:paraId="58F3E2B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480-10:2011</w:t>
            </w:r>
          </w:p>
        </w:tc>
        <w:tc>
          <w:tcPr>
            <w:tcW w:w="7512" w:type="dxa"/>
            <w:tcBorders>
              <w:top w:val="nil"/>
              <w:left w:val="nil"/>
              <w:bottom w:val="nil"/>
              <w:right w:val="nil"/>
            </w:tcBorders>
            <w:vAlign w:val="center"/>
            <w:hideMark/>
          </w:tcPr>
          <w:p w14:paraId="1F4D9C6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10: Oznaczanie zawartości chlorków rozpuszczalnych w wodzie</w:t>
            </w:r>
          </w:p>
        </w:tc>
      </w:tr>
      <w:tr w:rsidR="00282AE9" w:rsidRPr="00282AE9" w14:paraId="77668585" w14:textId="77777777" w:rsidTr="00282AE9">
        <w:trPr>
          <w:trHeight w:val="300"/>
        </w:trPr>
        <w:tc>
          <w:tcPr>
            <w:tcW w:w="2127" w:type="dxa"/>
            <w:tcBorders>
              <w:top w:val="nil"/>
              <w:left w:val="nil"/>
              <w:bottom w:val="nil"/>
              <w:right w:val="nil"/>
            </w:tcBorders>
            <w:noWrap/>
            <w:vAlign w:val="center"/>
            <w:hideMark/>
          </w:tcPr>
          <w:p w14:paraId="7977739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480-11:2008</w:t>
            </w:r>
          </w:p>
        </w:tc>
        <w:tc>
          <w:tcPr>
            <w:tcW w:w="7512" w:type="dxa"/>
            <w:tcBorders>
              <w:top w:val="nil"/>
              <w:left w:val="nil"/>
              <w:bottom w:val="nil"/>
              <w:right w:val="nil"/>
            </w:tcBorders>
            <w:vAlign w:val="center"/>
            <w:hideMark/>
          </w:tcPr>
          <w:p w14:paraId="76996FE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11: Oznaczanie charakterystyki porów powietrznych w stwardniałym betonie</w:t>
            </w:r>
          </w:p>
        </w:tc>
      </w:tr>
      <w:tr w:rsidR="00282AE9" w:rsidRPr="00282AE9" w14:paraId="36548FCC" w14:textId="77777777" w:rsidTr="00282AE9">
        <w:trPr>
          <w:trHeight w:val="300"/>
        </w:trPr>
        <w:tc>
          <w:tcPr>
            <w:tcW w:w="2127" w:type="dxa"/>
            <w:tcBorders>
              <w:top w:val="nil"/>
              <w:left w:val="nil"/>
              <w:bottom w:val="nil"/>
              <w:right w:val="nil"/>
            </w:tcBorders>
            <w:noWrap/>
            <w:vAlign w:val="center"/>
            <w:hideMark/>
          </w:tcPr>
          <w:p w14:paraId="331D3DB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480-12:2008</w:t>
            </w:r>
          </w:p>
        </w:tc>
        <w:tc>
          <w:tcPr>
            <w:tcW w:w="7512" w:type="dxa"/>
            <w:tcBorders>
              <w:top w:val="nil"/>
              <w:left w:val="nil"/>
              <w:bottom w:val="nil"/>
              <w:right w:val="nil"/>
            </w:tcBorders>
            <w:vAlign w:val="center"/>
            <w:hideMark/>
          </w:tcPr>
          <w:p w14:paraId="03D5A62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12: Oznaczanie zawartości alkaliów w domieszkach</w:t>
            </w:r>
          </w:p>
        </w:tc>
      </w:tr>
      <w:tr w:rsidR="00282AE9" w:rsidRPr="00282AE9" w14:paraId="588600BF" w14:textId="77777777" w:rsidTr="00282AE9">
        <w:trPr>
          <w:trHeight w:val="300"/>
        </w:trPr>
        <w:tc>
          <w:tcPr>
            <w:tcW w:w="2127" w:type="dxa"/>
            <w:tcBorders>
              <w:top w:val="nil"/>
              <w:left w:val="nil"/>
              <w:bottom w:val="nil"/>
              <w:right w:val="nil"/>
            </w:tcBorders>
            <w:noWrap/>
            <w:vAlign w:val="center"/>
            <w:hideMark/>
          </w:tcPr>
          <w:p w14:paraId="651D463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480-13:2015-08</w:t>
            </w:r>
          </w:p>
        </w:tc>
        <w:tc>
          <w:tcPr>
            <w:tcW w:w="7512" w:type="dxa"/>
            <w:tcBorders>
              <w:top w:val="nil"/>
              <w:left w:val="nil"/>
              <w:bottom w:val="nil"/>
              <w:right w:val="nil"/>
            </w:tcBorders>
            <w:vAlign w:val="center"/>
            <w:hideMark/>
          </w:tcPr>
          <w:p w14:paraId="2F1BCCA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13: Wzorcowa zaprawa murarska przeznaczona do badania domieszek do zapraw</w:t>
            </w:r>
          </w:p>
        </w:tc>
      </w:tr>
      <w:tr w:rsidR="00282AE9" w:rsidRPr="00282AE9" w14:paraId="739F10D7" w14:textId="77777777" w:rsidTr="00282AE9">
        <w:trPr>
          <w:trHeight w:val="600"/>
        </w:trPr>
        <w:tc>
          <w:tcPr>
            <w:tcW w:w="2127" w:type="dxa"/>
            <w:tcBorders>
              <w:top w:val="nil"/>
              <w:left w:val="nil"/>
              <w:bottom w:val="nil"/>
              <w:right w:val="nil"/>
            </w:tcBorders>
            <w:noWrap/>
            <w:vAlign w:val="center"/>
            <w:hideMark/>
          </w:tcPr>
          <w:p w14:paraId="27D78B6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480-14:2008</w:t>
            </w:r>
          </w:p>
        </w:tc>
        <w:tc>
          <w:tcPr>
            <w:tcW w:w="7512" w:type="dxa"/>
            <w:tcBorders>
              <w:top w:val="nil"/>
              <w:left w:val="nil"/>
              <w:bottom w:val="nil"/>
              <w:right w:val="nil"/>
            </w:tcBorders>
            <w:vAlign w:val="center"/>
            <w:hideMark/>
          </w:tcPr>
          <w:p w14:paraId="130CF85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Domieszki do betonu, zaprawy i zaczynu - Metody badań - Część 14: Oznaczanie podatności korozyjnej stali zbrojeniowej w betonie za pomocą </w:t>
            </w:r>
            <w:proofErr w:type="spellStart"/>
            <w:r w:rsidRPr="00282AE9">
              <w:rPr>
                <w:rFonts w:eastAsia="Times New Roman" w:cs="Calibri"/>
                <w:color w:val="000000"/>
                <w:lang w:eastAsia="pl-PL"/>
              </w:rPr>
              <w:t>potencjostatycznego</w:t>
            </w:r>
            <w:proofErr w:type="spellEnd"/>
            <w:r w:rsidRPr="00282AE9">
              <w:rPr>
                <w:rFonts w:eastAsia="Times New Roman" w:cs="Calibri"/>
                <w:color w:val="000000"/>
                <w:lang w:eastAsia="pl-PL"/>
              </w:rPr>
              <w:t xml:space="preserve"> badania elektrochemicznego</w:t>
            </w:r>
          </w:p>
        </w:tc>
      </w:tr>
      <w:tr w:rsidR="00282AE9" w:rsidRPr="00282AE9" w14:paraId="555E29D6" w14:textId="77777777" w:rsidTr="00282AE9">
        <w:trPr>
          <w:trHeight w:val="300"/>
        </w:trPr>
        <w:tc>
          <w:tcPr>
            <w:tcW w:w="2127" w:type="dxa"/>
            <w:tcBorders>
              <w:top w:val="nil"/>
              <w:left w:val="nil"/>
              <w:bottom w:val="nil"/>
              <w:right w:val="nil"/>
            </w:tcBorders>
            <w:noWrap/>
            <w:vAlign w:val="center"/>
            <w:hideMark/>
          </w:tcPr>
          <w:p w14:paraId="38560B0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480-15:2013-07</w:t>
            </w:r>
          </w:p>
        </w:tc>
        <w:tc>
          <w:tcPr>
            <w:tcW w:w="7512" w:type="dxa"/>
            <w:tcBorders>
              <w:top w:val="nil"/>
              <w:left w:val="nil"/>
              <w:bottom w:val="nil"/>
              <w:right w:val="nil"/>
            </w:tcBorders>
            <w:vAlign w:val="center"/>
            <w:hideMark/>
          </w:tcPr>
          <w:p w14:paraId="57F10BC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15: Beton wzorcowy i metoda badania domieszek modyfikujących lepkość</w:t>
            </w:r>
          </w:p>
        </w:tc>
      </w:tr>
      <w:tr w:rsidR="00282AE9" w:rsidRPr="00282AE9" w14:paraId="1CCFEA25" w14:textId="77777777" w:rsidTr="00282AE9">
        <w:trPr>
          <w:trHeight w:val="300"/>
        </w:trPr>
        <w:tc>
          <w:tcPr>
            <w:tcW w:w="2127" w:type="dxa"/>
            <w:tcBorders>
              <w:top w:val="nil"/>
              <w:left w:val="nil"/>
              <w:bottom w:val="nil"/>
              <w:right w:val="nil"/>
            </w:tcBorders>
            <w:noWrap/>
            <w:vAlign w:val="center"/>
            <w:hideMark/>
          </w:tcPr>
          <w:p w14:paraId="1877CE5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480-2:2008</w:t>
            </w:r>
          </w:p>
        </w:tc>
        <w:tc>
          <w:tcPr>
            <w:tcW w:w="7512" w:type="dxa"/>
            <w:tcBorders>
              <w:top w:val="nil"/>
              <w:left w:val="nil"/>
              <w:bottom w:val="nil"/>
              <w:right w:val="nil"/>
            </w:tcBorders>
            <w:vAlign w:val="center"/>
            <w:hideMark/>
          </w:tcPr>
          <w:p w14:paraId="473379A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2: Oznaczanie czasu wiązania</w:t>
            </w:r>
          </w:p>
        </w:tc>
      </w:tr>
      <w:tr w:rsidR="00282AE9" w:rsidRPr="00282AE9" w14:paraId="1FBFA3D4" w14:textId="77777777" w:rsidTr="00282AE9">
        <w:trPr>
          <w:trHeight w:val="300"/>
        </w:trPr>
        <w:tc>
          <w:tcPr>
            <w:tcW w:w="2127" w:type="dxa"/>
            <w:tcBorders>
              <w:top w:val="nil"/>
              <w:left w:val="nil"/>
              <w:bottom w:val="nil"/>
              <w:right w:val="nil"/>
            </w:tcBorders>
            <w:noWrap/>
            <w:vAlign w:val="center"/>
            <w:hideMark/>
          </w:tcPr>
          <w:p w14:paraId="6F56506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480-4:2008</w:t>
            </w:r>
          </w:p>
        </w:tc>
        <w:tc>
          <w:tcPr>
            <w:tcW w:w="7512" w:type="dxa"/>
            <w:tcBorders>
              <w:top w:val="nil"/>
              <w:left w:val="nil"/>
              <w:bottom w:val="nil"/>
              <w:right w:val="nil"/>
            </w:tcBorders>
            <w:vAlign w:val="center"/>
            <w:hideMark/>
          </w:tcPr>
          <w:p w14:paraId="5D584E4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4: Oznaczanie ilości cieczy wydzielającej się samoczynnie z mieszanki betonowej</w:t>
            </w:r>
          </w:p>
        </w:tc>
      </w:tr>
      <w:tr w:rsidR="00282AE9" w:rsidRPr="00282AE9" w14:paraId="20990C67" w14:textId="77777777" w:rsidTr="00282AE9">
        <w:trPr>
          <w:trHeight w:val="300"/>
        </w:trPr>
        <w:tc>
          <w:tcPr>
            <w:tcW w:w="2127" w:type="dxa"/>
            <w:tcBorders>
              <w:top w:val="nil"/>
              <w:left w:val="nil"/>
              <w:bottom w:val="nil"/>
              <w:right w:val="nil"/>
            </w:tcBorders>
            <w:noWrap/>
            <w:vAlign w:val="center"/>
            <w:hideMark/>
          </w:tcPr>
          <w:p w14:paraId="15FCD20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480-5:2008</w:t>
            </w:r>
          </w:p>
        </w:tc>
        <w:tc>
          <w:tcPr>
            <w:tcW w:w="7512" w:type="dxa"/>
            <w:tcBorders>
              <w:top w:val="nil"/>
              <w:left w:val="nil"/>
              <w:bottom w:val="nil"/>
              <w:right w:val="nil"/>
            </w:tcBorders>
            <w:vAlign w:val="center"/>
            <w:hideMark/>
          </w:tcPr>
          <w:p w14:paraId="1F126AD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5: Oznaczanie absorpcji kapilarnej</w:t>
            </w:r>
          </w:p>
        </w:tc>
      </w:tr>
      <w:tr w:rsidR="00282AE9" w:rsidRPr="00282AE9" w14:paraId="6EF57085" w14:textId="77777777" w:rsidTr="00282AE9">
        <w:trPr>
          <w:trHeight w:val="300"/>
        </w:trPr>
        <w:tc>
          <w:tcPr>
            <w:tcW w:w="2127" w:type="dxa"/>
            <w:tcBorders>
              <w:top w:val="nil"/>
              <w:left w:val="nil"/>
              <w:bottom w:val="nil"/>
              <w:right w:val="nil"/>
            </w:tcBorders>
            <w:noWrap/>
            <w:vAlign w:val="center"/>
            <w:hideMark/>
          </w:tcPr>
          <w:p w14:paraId="2A7D868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480-6:2008</w:t>
            </w:r>
          </w:p>
        </w:tc>
        <w:tc>
          <w:tcPr>
            <w:tcW w:w="7512" w:type="dxa"/>
            <w:tcBorders>
              <w:top w:val="nil"/>
              <w:left w:val="nil"/>
              <w:bottom w:val="nil"/>
              <w:right w:val="nil"/>
            </w:tcBorders>
            <w:vAlign w:val="center"/>
            <w:hideMark/>
          </w:tcPr>
          <w:p w14:paraId="2C9F1BA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6: Analiza w podczerwieni</w:t>
            </w:r>
          </w:p>
        </w:tc>
      </w:tr>
      <w:tr w:rsidR="00282AE9" w:rsidRPr="00282AE9" w14:paraId="1A250336" w14:textId="77777777" w:rsidTr="00282AE9">
        <w:trPr>
          <w:trHeight w:val="300"/>
        </w:trPr>
        <w:tc>
          <w:tcPr>
            <w:tcW w:w="2127" w:type="dxa"/>
            <w:tcBorders>
              <w:top w:val="nil"/>
              <w:left w:val="nil"/>
              <w:bottom w:val="nil"/>
              <w:right w:val="nil"/>
            </w:tcBorders>
            <w:noWrap/>
            <w:vAlign w:val="center"/>
            <w:hideMark/>
          </w:tcPr>
          <w:p w14:paraId="58EA92C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480-8:2012</w:t>
            </w:r>
          </w:p>
        </w:tc>
        <w:tc>
          <w:tcPr>
            <w:tcW w:w="7512" w:type="dxa"/>
            <w:tcBorders>
              <w:top w:val="nil"/>
              <w:left w:val="nil"/>
              <w:bottom w:val="nil"/>
              <w:right w:val="nil"/>
            </w:tcBorders>
            <w:vAlign w:val="center"/>
            <w:hideMark/>
          </w:tcPr>
          <w:p w14:paraId="3A0CDA7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Metody badań - Część 8: Oznaczanie umownej zawartości suchej substancji</w:t>
            </w:r>
          </w:p>
        </w:tc>
      </w:tr>
      <w:tr w:rsidR="00282AE9" w:rsidRPr="00282AE9" w14:paraId="24EB0890" w14:textId="77777777" w:rsidTr="00282AE9">
        <w:trPr>
          <w:trHeight w:val="300"/>
        </w:trPr>
        <w:tc>
          <w:tcPr>
            <w:tcW w:w="2127" w:type="dxa"/>
            <w:tcBorders>
              <w:top w:val="nil"/>
              <w:left w:val="nil"/>
              <w:bottom w:val="nil"/>
              <w:right w:val="nil"/>
            </w:tcBorders>
            <w:noWrap/>
            <w:vAlign w:val="center"/>
            <w:hideMark/>
          </w:tcPr>
          <w:p w14:paraId="18F8E02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678:1998</w:t>
            </w:r>
          </w:p>
        </w:tc>
        <w:tc>
          <w:tcPr>
            <w:tcW w:w="7512" w:type="dxa"/>
            <w:tcBorders>
              <w:top w:val="nil"/>
              <w:left w:val="nil"/>
              <w:bottom w:val="nil"/>
              <w:right w:val="nil"/>
            </w:tcBorders>
            <w:vAlign w:val="center"/>
            <w:hideMark/>
          </w:tcPr>
          <w:p w14:paraId="1EBBC7C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gęstości w stanie suchym autoklawizowanego betonu komórkowego</w:t>
            </w:r>
          </w:p>
        </w:tc>
      </w:tr>
      <w:tr w:rsidR="00282AE9" w:rsidRPr="00282AE9" w14:paraId="2BBC19A8" w14:textId="77777777" w:rsidTr="00282AE9">
        <w:trPr>
          <w:trHeight w:val="300"/>
        </w:trPr>
        <w:tc>
          <w:tcPr>
            <w:tcW w:w="2127" w:type="dxa"/>
            <w:tcBorders>
              <w:top w:val="nil"/>
              <w:left w:val="nil"/>
              <w:bottom w:val="nil"/>
              <w:right w:val="nil"/>
            </w:tcBorders>
            <w:noWrap/>
            <w:vAlign w:val="center"/>
            <w:hideMark/>
          </w:tcPr>
          <w:p w14:paraId="67B440C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679:2008</w:t>
            </w:r>
          </w:p>
        </w:tc>
        <w:tc>
          <w:tcPr>
            <w:tcW w:w="7512" w:type="dxa"/>
            <w:tcBorders>
              <w:top w:val="nil"/>
              <w:left w:val="nil"/>
              <w:bottom w:val="nil"/>
              <w:right w:val="nil"/>
            </w:tcBorders>
            <w:vAlign w:val="center"/>
            <w:hideMark/>
          </w:tcPr>
          <w:p w14:paraId="0926ACB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wytrzymałości na ściskanie autoklawizowanego betonu komórkowego</w:t>
            </w:r>
          </w:p>
        </w:tc>
      </w:tr>
      <w:tr w:rsidR="00282AE9" w:rsidRPr="00282AE9" w14:paraId="2A3DDEC7" w14:textId="77777777" w:rsidTr="00282AE9">
        <w:trPr>
          <w:trHeight w:val="300"/>
        </w:trPr>
        <w:tc>
          <w:tcPr>
            <w:tcW w:w="2127" w:type="dxa"/>
            <w:tcBorders>
              <w:top w:val="nil"/>
              <w:left w:val="nil"/>
              <w:bottom w:val="nil"/>
              <w:right w:val="nil"/>
            </w:tcBorders>
            <w:noWrap/>
            <w:vAlign w:val="center"/>
            <w:hideMark/>
          </w:tcPr>
          <w:p w14:paraId="6A31189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680:2008</w:t>
            </w:r>
          </w:p>
        </w:tc>
        <w:tc>
          <w:tcPr>
            <w:tcW w:w="7512" w:type="dxa"/>
            <w:tcBorders>
              <w:top w:val="nil"/>
              <w:left w:val="nil"/>
              <w:bottom w:val="nil"/>
              <w:right w:val="nil"/>
            </w:tcBorders>
            <w:vAlign w:val="center"/>
            <w:hideMark/>
          </w:tcPr>
          <w:p w14:paraId="7888915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skurczu przy wysychaniu autoklawizowanego betonu komórkowego</w:t>
            </w:r>
          </w:p>
        </w:tc>
      </w:tr>
      <w:tr w:rsidR="00282AE9" w:rsidRPr="00282AE9" w14:paraId="4A8F7076" w14:textId="77777777" w:rsidTr="00282AE9">
        <w:trPr>
          <w:trHeight w:val="300"/>
        </w:trPr>
        <w:tc>
          <w:tcPr>
            <w:tcW w:w="2127" w:type="dxa"/>
            <w:tcBorders>
              <w:top w:val="nil"/>
              <w:left w:val="nil"/>
              <w:bottom w:val="nil"/>
              <w:right w:val="nil"/>
            </w:tcBorders>
            <w:noWrap/>
            <w:vAlign w:val="center"/>
            <w:hideMark/>
          </w:tcPr>
          <w:p w14:paraId="2298361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771-3+A1:2015-10</w:t>
            </w:r>
          </w:p>
        </w:tc>
        <w:tc>
          <w:tcPr>
            <w:tcW w:w="7512" w:type="dxa"/>
            <w:tcBorders>
              <w:top w:val="nil"/>
              <w:left w:val="nil"/>
              <w:bottom w:val="nil"/>
              <w:right w:val="nil"/>
            </w:tcBorders>
            <w:vAlign w:val="center"/>
            <w:hideMark/>
          </w:tcPr>
          <w:p w14:paraId="4460A464"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Wymagania dotyczące elementów murowych - Część 3: Elementy murowe z betonu kruszywowego (z kruszywami zwykłymi i lekkimi)</w:t>
            </w:r>
          </w:p>
        </w:tc>
      </w:tr>
      <w:tr w:rsidR="00282AE9" w:rsidRPr="00282AE9" w14:paraId="7067378B" w14:textId="77777777" w:rsidTr="00282AE9">
        <w:trPr>
          <w:trHeight w:val="300"/>
        </w:trPr>
        <w:tc>
          <w:tcPr>
            <w:tcW w:w="2127" w:type="dxa"/>
            <w:tcBorders>
              <w:top w:val="nil"/>
              <w:left w:val="nil"/>
              <w:bottom w:val="nil"/>
              <w:right w:val="nil"/>
            </w:tcBorders>
            <w:noWrap/>
            <w:vAlign w:val="center"/>
            <w:hideMark/>
          </w:tcPr>
          <w:p w14:paraId="7BDA3A6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771-4+A1:2015-10</w:t>
            </w:r>
          </w:p>
        </w:tc>
        <w:tc>
          <w:tcPr>
            <w:tcW w:w="7512" w:type="dxa"/>
            <w:tcBorders>
              <w:top w:val="nil"/>
              <w:left w:val="nil"/>
              <w:bottom w:val="nil"/>
              <w:right w:val="nil"/>
            </w:tcBorders>
            <w:vAlign w:val="center"/>
            <w:hideMark/>
          </w:tcPr>
          <w:p w14:paraId="7E00667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Wymagania dotyczące elementów murowych - Część 4: Elementy murowe z autoklawizowanego betonu komórkowego</w:t>
            </w:r>
          </w:p>
        </w:tc>
      </w:tr>
      <w:tr w:rsidR="00282AE9" w:rsidRPr="00282AE9" w14:paraId="3AD2FD62" w14:textId="77777777" w:rsidTr="00282AE9">
        <w:trPr>
          <w:trHeight w:val="300"/>
        </w:trPr>
        <w:tc>
          <w:tcPr>
            <w:tcW w:w="2127" w:type="dxa"/>
            <w:tcBorders>
              <w:top w:val="nil"/>
              <w:left w:val="nil"/>
              <w:bottom w:val="nil"/>
              <w:right w:val="nil"/>
            </w:tcBorders>
            <w:noWrap/>
            <w:vAlign w:val="center"/>
            <w:hideMark/>
          </w:tcPr>
          <w:p w14:paraId="42CAD3B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772-10:2000</w:t>
            </w:r>
          </w:p>
        </w:tc>
        <w:tc>
          <w:tcPr>
            <w:tcW w:w="7512" w:type="dxa"/>
            <w:tcBorders>
              <w:top w:val="nil"/>
              <w:left w:val="nil"/>
              <w:bottom w:val="nil"/>
              <w:right w:val="nil"/>
            </w:tcBorders>
            <w:vAlign w:val="center"/>
            <w:hideMark/>
          </w:tcPr>
          <w:p w14:paraId="7A2A10C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Określenie wilgotności elementów silikatowych i elementów z autoklawizowanego betonu komórkowego</w:t>
            </w:r>
          </w:p>
        </w:tc>
      </w:tr>
      <w:tr w:rsidR="00282AE9" w:rsidRPr="00282AE9" w14:paraId="0E82A60A" w14:textId="77777777" w:rsidTr="00282AE9">
        <w:trPr>
          <w:trHeight w:val="600"/>
        </w:trPr>
        <w:tc>
          <w:tcPr>
            <w:tcW w:w="2127" w:type="dxa"/>
            <w:tcBorders>
              <w:top w:val="nil"/>
              <w:left w:val="nil"/>
              <w:bottom w:val="nil"/>
              <w:right w:val="nil"/>
            </w:tcBorders>
            <w:noWrap/>
            <w:vAlign w:val="center"/>
            <w:hideMark/>
          </w:tcPr>
          <w:p w14:paraId="4B4F76F0"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772-11:2011</w:t>
            </w:r>
          </w:p>
        </w:tc>
        <w:tc>
          <w:tcPr>
            <w:tcW w:w="7512" w:type="dxa"/>
            <w:tcBorders>
              <w:top w:val="nil"/>
              <w:left w:val="nil"/>
              <w:bottom w:val="nil"/>
              <w:right w:val="nil"/>
            </w:tcBorders>
            <w:vAlign w:val="center"/>
            <w:hideMark/>
          </w:tcPr>
          <w:p w14:paraId="4292A2F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Część 11: Określenie absorpcji wody elementów murowych z betonu kruszywowego, kamienia sztucznego i kamienia naturalnego spowodowanej podciąganiem kapilarnym oraz początkowej absorpcji wody elementów murowych ceramicznych</w:t>
            </w:r>
          </w:p>
        </w:tc>
      </w:tr>
      <w:tr w:rsidR="00282AE9" w:rsidRPr="00282AE9" w14:paraId="5FB99201" w14:textId="77777777" w:rsidTr="00282AE9">
        <w:trPr>
          <w:trHeight w:val="600"/>
        </w:trPr>
        <w:tc>
          <w:tcPr>
            <w:tcW w:w="2127" w:type="dxa"/>
            <w:tcBorders>
              <w:top w:val="nil"/>
              <w:left w:val="nil"/>
              <w:bottom w:val="nil"/>
              <w:right w:val="nil"/>
            </w:tcBorders>
            <w:noWrap/>
            <w:vAlign w:val="center"/>
            <w:hideMark/>
          </w:tcPr>
          <w:p w14:paraId="45288BF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772-11:2011</w:t>
            </w:r>
          </w:p>
        </w:tc>
        <w:tc>
          <w:tcPr>
            <w:tcW w:w="7512" w:type="dxa"/>
            <w:tcBorders>
              <w:top w:val="nil"/>
              <w:left w:val="nil"/>
              <w:bottom w:val="nil"/>
              <w:right w:val="nil"/>
            </w:tcBorders>
            <w:vAlign w:val="center"/>
            <w:hideMark/>
          </w:tcPr>
          <w:p w14:paraId="3F8EAE1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Część 11: Określenie absorpcji wody elementów murowych z betonu kruszywowego, kamienia sztucznego i kamienia naturalnego spowodowanej podciąganiem kapilarnym oraz początkowej absorpcji wody elementów murowych ceramicznych</w:t>
            </w:r>
          </w:p>
        </w:tc>
      </w:tr>
      <w:tr w:rsidR="00282AE9" w:rsidRPr="00282AE9" w14:paraId="019FF15D" w14:textId="77777777" w:rsidTr="00282AE9">
        <w:trPr>
          <w:trHeight w:val="300"/>
        </w:trPr>
        <w:tc>
          <w:tcPr>
            <w:tcW w:w="2127" w:type="dxa"/>
            <w:tcBorders>
              <w:top w:val="nil"/>
              <w:left w:val="nil"/>
              <w:bottom w:val="nil"/>
              <w:right w:val="nil"/>
            </w:tcBorders>
            <w:noWrap/>
            <w:vAlign w:val="center"/>
            <w:hideMark/>
          </w:tcPr>
          <w:p w14:paraId="6D230E8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772-14:2002</w:t>
            </w:r>
          </w:p>
        </w:tc>
        <w:tc>
          <w:tcPr>
            <w:tcW w:w="7512" w:type="dxa"/>
            <w:tcBorders>
              <w:top w:val="nil"/>
              <w:left w:val="nil"/>
              <w:bottom w:val="nil"/>
              <w:right w:val="nil"/>
            </w:tcBorders>
            <w:vAlign w:val="center"/>
            <w:hideMark/>
          </w:tcPr>
          <w:p w14:paraId="74F1F70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Część 14: Określenie zmian liniowych pod wpływem wilgoci elementów murowych z betonu kruszywowego i kamienia sztucznego</w:t>
            </w:r>
          </w:p>
        </w:tc>
      </w:tr>
      <w:tr w:rsidR="00282AE9" w:rsidRPr="00282AE9" w14:paraId="1B143527" w14:textId="77777777" w:rsidTr="00282AE9">
        <w:trPr>
          <w:trHeight w:val="300"/>
        </w:trPr>
        <w:tc>
          <w:tcPr>
            <w:tcW w:w="2127" w:type="dxa"/>
            <w:tcBorders>
              <w:top w:val="nil"/>
              <w:left w:val="nil"/>
              <w:bottom w:val="nil"/>
              <w:right w:val="nil"/>
            </w:tcBorders>
            <w:noWrap/>
            <w:vAlign w:val="center"/>
            <w:hideMark/>
          </w:tcPr>
          <w:p w14:paraId="6FFB3A7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772-15:2002</w:t>
            </w:r>
          </w:p>
        </w:tc>
        <w:tc>
          <w:tcPr>
            <w:tcW w:w="7512" w:type="dxa"/>
            <w:tcBorders>
              <w:top w:val="nil"/>
              <w:left w:val="nil"/>
              <w:bottom w:val="nil"/>
              <w:right w:val="nil"/>
            </w:tcBorders>
            <w:vAlign w:val="center"/>
            <w:hideMark/>
          </w:tcPr>
          <w:p w14:paraId="13FE3A6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Metody badań elementów murowych - Część 15: Oznaczanie współczynnika </w:t>
            </w:r>
            <w:r w:rsidRPr="00282AE9">
              <w:rPr>
                <w:rFonts w:eastAsia="Times New Roman" w:cs="Calibri"/>
                <w:color w:val="000000"/>
                <w:lang w:eastAsia="pl-PL"/>
              </w:rPr>
              <w:lastRenderedPageBreak/>
              <w:t>przepuszczania pary wodnej elementów murowych z autoklawizowanego betonu komórkowego</w:t>
            </w:r>
          </w:p>
        </w:tc>
      </w:tr>
      <w:tr w:rsidR="00282AE9" w:rsidRPr="00282AE9" w14:paraId="431EA19C" w14:textId="77777777" w:rsidTr="00282AE9">
        <w:trPr>
          <w:trHeight w:val="600"/>
        </w:trPr>
        <w:tc>
          <w:tcPr>
            <w:tcW w:w="2127" w:type="dxa"/>
            <w:tcBorders>
              <w:top w:val="nil"/>
              <w:left w:val="nil"/>
              <w:bottom w:val="nil"/>
              <w:right w:val="nil"/>
            </w:tcBorders>
            <w:noWrap/>
            <w:vAlign w:val="center"/>
            <w:hideMark/>
          </w:tcPr>
          <w:p w14:paraId="7147CC9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lastRenderedPageBreak/>
              <w:t>PN-EN 772-20:2002</w:t>
            </w:r>
          </w:p>
        </w:tc>
        <w:tc>
          <w:tcPr>
            <w:tcW w:w="7512" w:type="dxa"/>
            <w:tcBorders>
              <w:top w:val="nil"/>
              <w:left w:val="nil"/>
              <w:bottom w:val="nil"/>
              <w:right w:val="nil"/>
            </w:tcBorders>
            <w:vAlign w:val="center"/>
            <w:hideMark/>
          </w:tcPr>
          <w:p w14:paraId="6A7FC7B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Część 20: Oznaczanie płaskości powierzchni licowych elementów murowych z betonu kruszywowego, z kamienia sztucznego i z kamienia naturalnego</w:t>
            </w:r>
          </w:p>
        </w:tc>
      </w:tr>
      <w:tr w:rsidR="00282AE9" w:rsidRPr="00282AE9" w14:paraId="2F29A30E" w14:textId="77777777" w:rsidTr="00282AE9">
        <w:trPr>
          <w:trHeight w:val="300"/>
        </w:trPr>
        <w:tc>
          <w:tcPr>
            <w:tcW w:w="2127" w:type="dxa"/>
            <w:tcBorders>
              <w:top w:val="nil"/>
              <w:left w:val="nil"/>
              <w:bottom w:val="nil"/>
              <w:right w:val="nil"/>
            </w:tcBorders>
            <w:noWrap/>
            <w:vAlign w:val="center"/>
            <w:hideMark/>
          </w:tcPr>
          <w:p w14:paraId="092AB27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772-6:2002</w:t>
            </w:r>
          </w:p>
        </w:tc>
        <w:tc>
          <w:tcPr>
            <w:tcW w:w="7512" w:type="dxa"/>
            <w:tcBorders>
              <w:top w:val="nil"/>
              <w:left w:val="nil"/>
              <w:bottom w:val="nil"/>
              <w:right w:val="nil"/>
            </w:tcBorders>
            <w:vAlign w:val="center"/>
            <w:hideMark/>
          </w:tcPr>
          <w:p w14:paraId="460E56E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elementów murowych - Część 6: Określenie wytrzymałości na rozciąganie przy zginaniu elementów murowych z betonu kruszywowego</w:t>
            </w:r>
          </w:p>
        </w:tc>
      </w:tr>
      <w:tr w:rsidR="00282AE9" w:rsidRPr="00282AE9" w14:paraId="43F28A8D" w14:textId="77777777" w:rsidTr="00282AE9">
        <w:trPr>
          <w:trHeight w:val="300"/>
        </w:trPr>
        <w:tc>
          <w:tcPr>
            <w:tcW w:w="2127" w:type="dxa"/>
            <w:tcBorders>
              <w:top w:val="nil"/>
              <w:left w:val="nil"/>
              <w:bottom w:val="nil"/>
              <w:right w:val="nil"/>
            </w:tcBorders>
            <w:noWrap/>
            <w:vAlign w:val="center"/>
            <w:hideMark/>
          </w:tcPr>
          <w:p w14:paraId="6B612B9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934-1:2009</w:t>
            </w:r>
          </w:p>
        </w:tc>
        <w:tc>
          <w:tcPr>
            <w:tcW w:w="7512" w:type="dxa"/>
            <w:tcBorders>
              <w:top w:val="nil"/>
              <w:left w:val="nil"/>
              <w:bottom w:val="nil"/>
              <w:right w:val="nil"/>
            </w:tcBorders>
            <w:vAlign w:val="center"/>
            <w:hideMark/>
          </w:tcPr>
          <w:p w14:paraId="09D177E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1: Wymagania podstawowe</w:t>
            </w:r>
          </w:p>
        </w:tc>
      </w:tr>
      <w:tr w:rsidR="00282AE9" w:rsidRPr="00282AE9" w14:paraId="05F9915C" w14:textId="77777777" w:rsidTr="00282AE9">
        <w:trPr>
          <w:trHeight w:val="300"/>
        </w:trPr>
        <w:tc>
          <w:tcPr>
            <w:tcW w:w="2127" w:type="dxa"/>
            <w:tcBorders>
              <w:top w:val="nil"/>
              <w:left w:val="nil"/>
              <w:bottom w:val="nil"/>
              <w:right w:val="nil"/>
            </w:tcBorders>
            <w:noWrap/>
            <w:vAlign w:val="center"/>
            <w:hideMark/>
          </w:tcPr>
          <w:p w14:paraId="4ABA19B1"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934-2+A1:2012</w:t>
            </w:r>
          </w:p>
        </w:tc>
        <w:tc>
          <w:tcPr>
            <w:tcW w:w="7512" w:type="dxa"/>
            <w:tcBorders>
              <w:top w:val="nil"/>
              <w:left w:val="nil"/>
              <w:bottom w:val="nil"/>
              <w:right w:val="nil"/>
            </w:tcBorders>
            <w:vAlign w:val="center"/>
            <w:hideMark/>
          </w:tcPr>
          <w:p w14:paraId="6078664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2: Domieszki do betonu - Definicje, wymagania, zgodność, oznakowanie i etykietowanie</w:t>
            </w:r>
          </w:p>
        </w:tc>
      </w:tr>
      <w:tr w:rsidR="00282AE9" w:rsidRPr="00282AE9" w14:paraId="4FE6DA07" w14:textId="77777777" w:rsidTr="00282AE9">
        <w:trPr>
          <w:trHeight w:val="300"/>
        </w:trPr>
        <w:tc>
          <w:tcPr>
            <w:tcW w:w="2127" w:type="dxa"/>
            <w:tcBorders>
              <w:top w:val="nil"/>
              <w:left w:val="nil"/>
              <w:bottom w:val="nil"/>
              <w:right w:val="nil"/>
            </w:tcBorders>
            <w:noWrap/>
            <w:vAlign w:val="center"/>
            <w:hideMark/>
          </w:tcPr>
          <w:p w14:paraId="524A33C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934-3+A1:2012</w:t>
            </w:r>
          </w:p>
        </w:tc>
        <w:tc>
          <w:tcPr>
            <w:tcW w:w="7512" w:type="dxa"/>
            <w:tcBorders>
              <w:top w:val="nil"/>
              <w:left w:val="nil"/>
              <w:bottom w:val="nil"/>
              <w:right w:val="nil"/>
            </w:tcBorders>
            <w:vAlign w:val="center"/>
            <w:hideMark/>
          </w:tcPr>
          <w:p w14:paraId="03B19D2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3: Domieszki do zapraw do murów - Definicje, wymagania, zgodność, oznakowanie i etykietowanie</w:t>
            </w:r>
          </w:p>
        </w:tc>
      </w:tr>
      <w:tr w:rsidR="00282AE9" w:rsidRPr="00282AE9" w14:paraId="37D82696" w14:textId="77777777" w:rsidTr="00282AE9">
        <w:trPr>
          <w:trHeight w:val="300"/>
        </w:trPr>
        <w:tc>
          <w:tcPr>
            <w:tcW w:w="2127" w:type="dxa"/>
            <w:tcBorders>
              <w:top w:val="nil"/>
              <w:left w:val="nil"/>
              <w:bottom w:val="nil"/>
              <w:right w:val="nil"/>
            </w:tcBorders>
            <w:noWrap/>
            <w:vAlign w:val="center"/>
            <w:hideMark/>
          </w:tcPr>
          <w:p w14:paraId="664717D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934-4:2010</w:t>
            </w:r>
          </w:p>
        </w:tc>
        <w:tc>
          <w:tcPr>
            <w:tcW w:w="7512" w:type="dxa"/>
            <w:tcBorders>
              <w:top w:val="nil"/>
              <w:left w:val="nil"/>
              <w:bottom w:val="nil"/>
              <w:right w:val="nil"/>
            </w:tcBorders>
            <w:vAlign w:val="center"/>
            <w:hideMark/>
          </w:tcPr>
          <w:p w14:paraId="506B1A2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4: Domieszki do zaczynów iniekcyjnych do kanałów kablowych - Definicje, wymagania, zgodność, oznakowanie i etykietowanie</w:t>
            </w:r>
          </w:p>
        </w:tc>
      </w:tr>
      <w:tr w:rsidR="00282AE9" w:rsidRPr="00282AE9" w14:paraId="3CE5AB63" w14:textId="77777777" w:rsidTr="00282AE9">
        <w:trPr>
          <w:trHeight w:val="300"/>
        </w:trPr>
        <w:tc>
          <w:tcPr>
            <w:tcW w:w="2127" w:type="dxa"/>
            <w:tcBorders>
              <w:top w:val="nil"/>
              <w:left w:val="nil"/>
              <w:bottom w:val="nil"/>
              <w:right w:val="nil"/>
            </w:tcBorders>
            <w:noWrap/>
            <w:vAlign w:val="center"/>
            <w:hideMark/>
          </w:tcPr>
          <w:p w14:paraId="7A4D141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934-5:2009</w:t>
            </w:r>
          </w:p>
        </w:tc>
        <w:tc>
          <w:tcPr>
            <w:tcW w:w="7512" w:type="dxa"/>
            <w:tcBorders>
              <w:top w:val="nil"/>
              <w:left w:val="nil"/>
              <w:bottom w:val="nil"/>
              <w:right w:val="nil"/>
            </w:tcBorders>
            <w:vAlign w:val="center"/>
            <w:hideMark/>
          </w:tcPr>
          <w:p w14:paraId="7A08C11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5: Domieszki do betonu natryskowego - Definicje, wymagania, zgodność, oznakowanie i etykietowanie</w:t>
            </w:r>
          </w:p>
        </w:tc>
      </w:tr>
      <w:tr w:rsidR="00282AE9" w:rsidRPr="00282AE9" w14:paraId="5921EB5D" w14:textId="77777777" w:rsidTr="00282AE9">
        <w:trPr>
          <w:trHeight w:val="300"/>
        </w:trPr>
        <w:tc>
          <w:tcPr>
            <w:tcW w:w="2127" w:type="dxa"/>
            <w:tcBorders>
              <w:top w:val="nil"/>
              <w:left w:val="nil"/>
              <w:bottom w:val="nil"/>
              <w:right w:val="nil"/>
            </w:tcBorders>
            <w:noWrap/>
            <w:vAlign w:val="center"/>
            <w:hideMark/>
          </w:tcPr>
          <w:p w14:paraId="51ECC8C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934-6:2019-04</w:t>
            </w:r>
          </w:p>
        </w:tc>
        <w:tc>
          <w:tcPr>
            <w:tcW w:w="7512" w:type="dxa"/>
            <w:tcBorders>
              <w:top w:val="nil"/>
              <w:left w:val="nil"/>
              <w:bottom w:val="nil"/>
              <w:right w:val="nil"/>
            </w:tcBorders>
            <w:vAlign w:val="center"/>
            <w:hideMark/>
          </w:tcPr>
          <w:p w14:paraId="03E090D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Domieszki do betonu, zaprawy i zaczynu - Część 6: Pobieranie próbek, ocena i weryfikacja stałości właściwości użytkowych</w:t>
            </w:r>
          </w:p>
        </w:tc>
      </w:tr>
      <w:tr w:rsidR="00282AE9" w:rsidRPr="00282AE9" w14:paraId="5B85C933" w14:textId="77777777" w:rsidTr="00282AE9">
        <w:trPr>
          <w:trHeight w:val="300"/>
        </w:trPr>
        <w:tc>
          <w:tcPr>
            <w:tcW w:w="2127" w:type="dxa"/>
            <w:tcBorders>
              <w:top w:val="nil"/>
              <w:left w:val="nil"/>
              <w:bottom w:val="nil"/>
              <w:right w:val="nil"/>
            </w:tcBorders>
            <w:noWrap/>
            <w:vAlign w:val="center"/>
            <w:hideMark/>
          </w:tcPr>
          <w:p w14:paraId="054F2568"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989:1999</w:t>
            </w:r>
          </w:p>
        </w:tc>
        <w:tc>
          <w:tcPr>
            <w:tcW w:w="7512" w:type="dxa"/>
            <w:tcBorders>
              <w:top w:val="nil"/>
              <w:left w:val="nil"/>
              <w:bottom w:val="nil"/>
              <w:right w:val="nil"/>
            </w:tcBorders>
            <w:vAlign w:val="center"/>
            <w:hideMark/>
          </w:tcPr>
          <w:p w14:paraId="485AB95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przyczepności autoklawizowanego betonu komórkowego do prętów zbrojenia metodą wypychania</w:t>
            </w:r>
          </w:p>
        </w:tc>
      </w:tr>
      <w:tr w:rsidR="00282AE9" w:rsidRPr="00282AE9" w14:paraId="7D0CD426" w14:textId="77777777" w:rsidTr="00282AE9">
        <w:trPr>
          <w:trHeight w:val="300"/>
        </w:trPr>
        <w:tc>
          <w:tcPr>
            <w:tcW w:w="2127" w:type="dxa"/>
            <w:tcBorders>
              <w:top w:val="nil"/>
              <w:left w:val="nil"/>
              <w:bottom w:val="nil"/>
              <w:right w:val="nil"/>
            </w:tcBorders>
            <w:noWrap/>
            <w:vAlign w:val="center"/>
            <w:hideMark/>
          </w:tcPr>
          <w:p w14:paraId="36848E0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990:2004</w:t>
            </w:r>
          </w:p>
        </w:tc>
        <w:tc>
          <w:tcPr>
            <w:tcW w:w="7512" w:type="dxa"/>
            <w:tcBorders>
              <w:top w:val="nil"/>
              <w:left w:val="nil"/>
              <w:bottom w:val="nil"/>
              <w:right w:val="nil"/>
            </w:tcBorders>
            <w:vAlign w:val="center"/>
            <w:hideMark/>
          </w:tcPr>
          <w:p w14:paraId="1648AC7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Metody badań zabezpieczenia przed korozją zbrojenia w autoklawizowanym betonie komórkowym i betonie lekkim kruszywowym o otwartej strukturze</w:t>
            </w:r>
          </w:p>
        </w:tc>
      </w:tr>
      <w:tr w:rsidR="00282AE9" w:rsidRPr="00282AE9" w14:paraId="7725778E" w14:textId="77777777" w:rsidTr="00282AE9">
        <w:trPr>
          <w:trHeight w:val="300"/>
        </w:trPr>
        <w:tc>
          <w:tcPr>
            <w:tcW w:w="2127" w:type="dxa"/>
            <w:tcBorders>
              <w:top w:val="nil"/>
              <w:left w:val="nil"/>
              <w:bottom w:val="nil"/>
              <w:right w:val="nil"/>
            </w:tcBorders>
            <w:noWrap/>
            <w:vAlign w:val="center"/>
            <w:hideMark/>
          </w:tcPr>
          <w:p w14:paraId="7033B93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991:1999</w:t>
            </w:r>
          </w:p>
        </w:tc>
        <w:tc>
          <w:tcPr>
            <w:tcW w:w="7512" w:type="dxa"/>
            <w:tcBorders>
              <w:top w:val="nil"/>
              <w:left w:val="nil"/>
              <w:bottom w:val="nil"/>
              <w:right w:val="nil"/>
            </w:tcBorders>
            <w:vAlign w:val="center"/>
            <w:hideMark/>
          </w:tcPr>
          <w:p w14:paraId="0B55D6FE"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wymiarów prefabrykowanych elementów zbrojonych z autoklawizowanego betonu komórkowego lub z betonu lekkiego kruszywowego o otwartej strukturze</w:t>
            </w:r>
          </w:p>
        </w:tc>
      </w:tr>
      <w:tr w:rsidR="00282AE9" w:rsidRPr="00282AE9" w14:paraId="2801E898" w14:textId="77777777" w:rsidTr="00282AE9">
        <w:trPr>
          <w:trHeight w:val="300"/>
        </w:trPr>
        <w:tc>
          <w:tcPr>
            <w:tcW w:w="2127" w:type="dxa"/>
            <w:tcBorders>
              <w:top w:val="nil"/>
              <w:left w:val="nil"/>
              <w:bottom w:val="nil"/>
              <w:right w:val="nil"/>
            </w:tcBorders>
            <w:noWrap/>
            <w:vAlign w:val="center"/>
            <w:hideMark/>
          </w:tcPr>
          <w:p w14:paraId="7368860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992:1999</w:t>
            </w:r>
          </w:p>
        </w:tc>
        <w:tc>
          <w:tcPr>
            <w:tcW w:w="7512" w:type="dxa"/>
            <w:tcBorders>
              <w:top w:val="nil"/>
              <w:left w:val="nil"/>
              <w:bottom w:val="nil"/>
              <w:right w:val="nil"/>
            </w:tcBorders>
            <w:vAlign w:val="center"/>
            <w:hideMark/>
          </w:tcPr>
          <w:p w14:paraId="0BE9EBA6"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Oznaczanie gęstości w stanie suchym betonu lekkiego kruszywowego o otwartej strukturze</w:t>
            </w:r>
          </w:p>
        </w:tc>
      </w:tr>
      <w:tr w:rsidR="00282AE9" w:rsidRPr="00282AE9" w14:paraId="5E309E01" w14:textId="77777777" w:rsidTr="00282AE9">
        <w:trPr>
          <w:trHeight w:val="300"/>
        </w:trPr>
        <w:tc>
          <w:tcPr>
            <w:tcW w:w="2127" w:type="dxa"/>
            <w:tcBorders>
              <w:top w:val="nil"/>
              <w:left w:val="nil"/>
              <w:bottom w:val="nil"/>
              <w:right w:val="nil"/>
            </w:tcBorders>
            <w:noWrap/>
            <w:vAlign w:val="center"/>
            <w:hideMark/>
          </w:tcPr>
          <w:p w14:paraId="6C44C5EA"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15630-1:2019-04</w:t>
            </w:r>
          </w:p>
        </w:tc>
        <w:tc>
          <w:tcPr>
            <w:tcW w:w="7512" w:type="dxa"/>
            <w:tcBorders>
              <w:top w:val="nil"/>
              <w:left w:val="nil"/>
              <w:bottom w:val="nil"/>
              <w:right w:val="nil"/>
            </w:tcBorders>
            <w:vAlign w:val="center"/>
            <w:hideMark/>
          </w:tcPr>
          <w:p w14:paraId="256992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1: Pręty, walcówka i drut do zbrojenia betonu</w:t>
            </w:r>
          </w:p>
        </w:tc>
      </w:tr>
      <w:tr w:rsidR="00282AE9" w:rsidRPr="00282AE9" w14:paraId="4B7478F9" w14:textId="77777777" w:rsidTr="00282AE9">
        <w:trPr>
          <w:trHeight w:val="300"/>
        </w:trPr>
        <w:tc>
          <w:tcPr>
            <w:tcW w:w="2127" w:type="dxa"/>
            <w:tcBorders>
              <w:top w:val="nil"/>
              <w:left w:val="nil"/>
              <w:bottom w:val="nil"/>
              <w:right w:val="nil"/>
            </w:tcBorders>
            <w:noWrap/>
            <w:vAlign w:val="center"/>
            <w:hideMark/>
          </w:tcPr>
          <w:p w14:paraId="0A2A71A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15630-2:2019-04</w:t>
            </w:r>
          </w:p>
        </w:tc>
        <w:tc>
          <w:tcPr>
            <w:tcW w:w="7512" w:type="dxa"/>
            <w:tcBorders>
              <w:top w:val="nil"/>
              <w:left w:val="nil"/>
              <w:bottom w:val="nil"/>
              <w:right w:val="nil"/>
            </w:tcBorders>
            <w:vAlign w:val="center"/>
            <w:hideMark/>
          </w:tcPr>
          <w:p w14:paraId="195776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2: Zgrzewane siatki i dźwigary kratowe</w:t>
            </w:r>
          </w:p>
        </w:tc>
      </w:tr>
      <w:tr w:rsidR="00282AE9" w:rsidRPr="00282AE9" w14:paraId="5A20BFD4" w14:textId="77777777" w:rsidTr="00282AE9">
        <w:trPr>
          <w:trHeight w:val="300"/>
        </w:trPr>
        <w:tc>
          <w:tcPr>
            <w:tcW w:w="2127" w:type="dxa"/>
            <w:tcBorders>
              <w:top w:val="nil"/>
              <w:left w:val="nil"/>
              <w:bottom w:val="nil"/>
              <w:right w:val="nil"/>
            </w:tcBorders>
            <w:noWrap/>
            <w:vAlign w:val="center"/>
            <w:hideMark/>
          </w:tcPr>
          <w:p w14:paraId="4E51C9A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15630-3:2019-04</w:t>
            </w:r>
          </w:p>
        </w:tc>
        <w:tc>
          <w:tcPr>
            <w:tcW w:w="7512" w:type="dxa"/>
            <w:tcBorders>
              <w:top w:val="nil"/>
              <w:left w:val="nil"/>
              <w:bottom w:val="nil"/>
              <w:right w:val="nil"/>
            </w:tcBorders>
            <w:vAlign w:val="center"/>
            <w:hideMark/>
          </w:tcPr>
          <w:p w14:paraId="32B1629C"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Stal do zbrojenia i sprężania betonu - Metody badań - Część 3: Stal do sprężania</w:t>
            </w:r>
          </w:p>
        </w:tc>
      </w:tr>
      <w:tr w:rsidR="00282AE9" w:rsidRPr="00282AE9" w14:paraId="7C8A4231" w14:textId="77777777" w:rsidTr="00282AE9">
        <w:trPr>
          <w:trHeight w:val="300"/>
        </w:trPr>
        <w:tc>
          <w:tcPr>
            <w:tcW w:w="2127" w:type="dxa"/>
            <w:tcBorders>
              <w:top w:val="nil"/>
              <w:left w:val="nil"/>
              <w:bottom w:val="nil"/>
              <w:right w:val="nil"/>
            </w:tcBorders>
            <w:noWrap/>
            <w:vAlign w:val="center"/>
            <w:hideMark/>
          </w:tcPr>
          <w:p w14:paraId="356C1AF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PN-EN ISO 1927-4:2013-06</w:t>
            </w:r>
          </w:p>
        </w:tc>
        <w:tc>
          <w:tcPr>
            <w:tcW w:w="7512" w:type="dxa"/>
            <w:tcBorders>
              <w:top w:val="nil"/>
              <w:left w:val="nil"/>
              <w:bottom w:val="nil"/>
              <w:right w:val="nil"/>
            </w:tcBorders>
            <w:vAlign w:val="center"/>
            <w:hideMark/>
          </w:tcPr>
          <w:p w14:paraId="0F52F4E9"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Monolityczne (nieformowane) wyroby ogniotrwałe - Część 4: Oznaczanie konsystencji betonów</w:t>
            </w:r>
          </w:p>
        </w:tc>
      </w:tr>
      <w:tr w:rsidR="00282AE9" w:rsidRPr="00282AE9" w14:paraId="3F64EE48" w14:textId="77777777" w:rsidTr="00282AE9">
        <w:trPr>
          <w:trHeight w:val="300"/>
        </w:trPr>
        <w:tc>
          <w:tcPr>
            <w:tcW w:w="2127" w:type="dxa"/>
            <w:tcBorders>
              <w:top w:val="nil"/>
              <w:left w:val="nil"/>
              <w:bottom w:val="nil"/>
              <w:right w:val="nil"/>
            </w:tcBorders>
            <w:noWrap/>
            <w:vAlign w:val="center"/>
            <w:hideMark/>
          </w:tcPr>
          <w:p w14:paraId="5F1A50C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PN-H-93220:2018-02</w:t>
            </w:r>
          </w:p>
        </w:tc>
        <w:tc>
          <w:tcPr>
            <w:tcW w:w="7512" w:type="dxa"/>
            <w:tcBorders>
              <w:top w:val="nil"/>
              <w:left w:val="nil"/>
              <w:bottom w:val="nil"/>
              <w:right w:val="nil"/>
            </w:tcBorders>
            <w:vAlign w:val="center"/>
            <w:hideMark/>
          </w:tcPr>
          <w:p w14:paraId="0F9AC42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B500SP - Pręty i walcówka żebrowana</w:t>
            </w:r>
          </w:p>
        </w:tc>
      </w:tr>
      <w:tr w:rsidR="00282AE9" w:rsidRPr="00282AE9" w14:paraId="3ADD44CC" w14:textId="77777777" w:rsidTr="00282AE9">
        <w:trPr>
          <w:trHeight w:val="300"/>
        </w:trPr>
        <w:tc>
          <w:tcPr>
            <w:tcW w:w="2127" w:type="dxa"/>
            <w:tcBorders>
              <w:top w:val="nil"/>
              <w:left w:val="nil"/>
              <w:bottom w:val="nil"/>
              <w:right w:val="nil"/>
            </w:tcBorders>
            <w:noWrap/>
            <w:vAlign w:val="center"/>
            <w:hideMark/>
          </w:tcPr>
          <w:p w14:paraId="1E16044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PN-H-93247-1:2008</w:t>
            </w:r>
          </w:p>
        </w:tc>
        <w:tc>
          <w:tcPr>
            <w:tcW w:w="7512" w:type="dxa"/>
            <w:tcBorders>
              <w:top w:val="nil"/>
              <w:left w:val="nil"/>
              <w:bottom w:val="nil"/>
              <w:right w:val="nil"/>
            </w:tcBorders>
            <w:vAlign w:val="center"/>
            <w:hideMark/>
          </w:tcPr>
          <w:p w14:paraId="4DAE82D0" w14:textId="77777777" w:rsidR="00282AE9" w:rsidRPr="00282AE9" w:rsidRDefault="00282AE9" w:rsidP="00282AE9">
            <w:pPr>
              <w:spacing w:after="0" w:line="240" w:lineRule="auto"/>
              <w:rPr>
                <w:rFonts w:eastAsia="Times New Roman" w:cs="Calibri"/>
                <w:color w:val="000000"/>
                <w:lang w:eastAsia="pl-PL"/>
              </w:rPr>
            </w:pP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B500A do zbrojenia betonu - Część 1: Drut żebrowany</w:t>
            </w:r>
          </w:p>
        </w:tc>
      </w:tr>
      <w:tr w:rsidR="00282AE9" w:rsidRPr="00282AE9" w14:paraId="59637F36" w14:textId="77777777" w:rsidTr="00282AE9">
        <w:trPr>
          <w:trHeight w:val="300"/>
        </w:trPr>
        <w:tc>
          <w:tcPr>
            <w:tcW w:w="2127" w:type="dxa"/>
            <w:tcBorders>
              <w:top w:val="nil"/>
              <w:left w:val="nil"/>
              <w:bottom w:val="nil"/>
              <w:right w:val="nil"/>
            </w:tcBorders>
            <w:noWrap/>
            <w:vAlign w:val="center"/>
            <w:hideMark/>
          </w:tcPr>
          <w:p w14:paraId="55A51AC7"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PN-H-93247-2:2008</w:t>
            </w:r>
          </w:p>
        </w:tc>
        <w:tc>
          <w:tcPr>
            <w:tcW w:w="7512" w:type="dxa"/>
            <w:tcBorders>
              <w:top w:val="nil"/>
              <w:left w:val="nil"/>
              <w:bottom w:val="nil"/>
              <w:right w:val="nil"/>
            </w:tcBorders>
            <w:vAlign w:val="center"/>
            <w:hideMark/>
          </w:tcPr>
          <w:p w14:paraId="3A0127E0" w14:textId="77777777" w:rsidR="00282AE9" w:rsidRPr="00282AE9" w:rsidRDefault="00282AE9" w:rsidP="00282AE9">
            <w:pPr>
              <w:spacing w:after="0" w:line="240" w:lineRule="auto"/>
              <w:rPr>
                <w:rFonts w:eastAsia="Times New Roman" w:cs="Calibri"/>
                <w:color w:val="000000"/>
                <w:lang w:eastAsia="pl-PL"/>
              </w:rPr>
            </w:pP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B500A do zbrojenia betonu - Część 2: Zgrzewane siatki zbrojeniowe</w:t>
            </w:r>
          </w:p>
        </w:tc>
      </w:tr>
      <w:tr w:rsidR="00282AE9" w:rsidRPr="00282AE9" w14:paraId="514AF46D" w14:textId="77777777" w:rsidTr="00282AE9">
        <w:trPr>
          <w:trHeight w:val="300"/>
        </w:trPr>
        <w:tc>
          <w:tcPr>
            <w:tcW w:w="2127" w:type="dxa"/>
            <w:tcBorders>
              <w:top w:val="nil"/>
              <w:left w:val="nil"/>
              <w:bottom w:val="nil"/>
              <w:right w:val="nil"/>
            </w:tcBorders>
            <w:noWrap/>
            <w:vAlign w:val="center"/>
            <w:hideMark/>
          </w:tcPr>
          <w:p w14:paraId="5914155B"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PN-H-93250:2018-02</w:t>
            </w:r>
          </w:p>
        </w:tc>
        <w:tc>
          <w:tcPr>
            <w:tcW w:w="7512" w:type="dxa"/>
            <w:tcBorders>
              <w:top w:val="nil"/>
              <w:left w:val="nil"/>
              <w:bottom w:val="nil"/>
              <w:right w:val="nil"/>
            </w:tcBorders>
            <w:vAlign w:val="center"/>
            <w:hideMark/>
          </w:tcPr>
          <w:p w14:paraId="72841C9F"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 xml:space="preserve">Stal do zbrojenia betonu - </w:t>
            </w:r>
            <w:proofErr w:type="spellStart"/>
            <w:r w:rsidRPr="00282AE9">
              <w:rPr>
                <w:rFonts w:eastAsia="Times New Roman" w:cs="Calibri"/>
                <w:color w:val="000000"/>
                <w:lang w:eastAsia="pl-PL"/>
              </w:rPr>
              <w:t>Spajalna</w:t>
            </w:r>
            <w:proofErr w:type="spellEnd"/>
            <w:r w:rsidRPr="00282AE9">
              <w:rPr>
                <w:rFonts w:eastAsia="Times New Roman" w:cs="Calibri"/>
                <w:color w:val="000000"/>
                <w:lang w:eastAsia="pl-PL"/>
              </w:rPr>
              <w:t xml:space="preserve"> stal zbrojeniowa B500SN - Pręty i walcówka żebrowana</w:t>
            </w:r>
          </w:p>
        </w:tc>
      </w:tr>
      <w:tr w:rsidR="00282AE9" w:rsidRPr="00282AE9" w14:paraId="03905E18" w14:textId="77777777" w:rsidTr="00282AE9">
        <w:trPr>
          <w:trHeight w:val="300"/>
        </w:trPr>
        <w:tc>
          <w:tcPr>
            <w:tcW w:w="2127" w:type="dxa"/>
            <w:tcBorders>
              <w:top w:val="nil"/>
              <w:left w:val="nil"/>
              <w:bottom w:val="nil"/>
              <w:right w:val="nil"/>
            </w:tcBorders>
            <w:noWrap/>
            <w:vAlign w:val="center"/>
            <w:hideMark/>
          </w:tcPr>
          <w:p w14:paraId="438FCC65"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PN-ISO 7728:2001</w:t>
            </w:r>
          </w:p>
        </w:tc>
        <w:tc>
          <w:tcPr>
            <w:tcW w:w="7512" w:type="dxa"/>
            <w:tcBorders>
              <w:top w:val="nil"/>
              <w:left w:val="nil"/>
              <w:bottom w:val="nil"/>
              <w:right w:val="nil"/>
            </w:tcBorders>
            <w:vAlign w:val="center"/>
            <w:hideMark/>
          </w:tcPr>
          <w:p w14:paraId="7EA10D83"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Złącza poziome ściany zewnętrznej z prefabrykatów betonowych i stropu betonowego - Właściwości, cechy charakterystyczne i kryteria klasyfikacji</w:t>
            </w:r>
          </w:p>
        </w:tc>
      </w:tr>
      <w:tr w:rsidR="00282AE9" w:rsidRPr="00282AE9" w14:paraId="07A2CC62" w14:textId="77777777" w:rsidTr="00282AE9">
        <w:trPr>
          <w:trHeight w:val="300"/>
        </w:trPr>
        <w:tc>
          <w:tcPr>
            <w:tcW w:w="2127" w:type="dxa"/>
            <w:tcBorders>
              <w:top w:val="nil"/>
              <w:left w:val="nil"/>
              <w:bottom w:val="nil"/>
              <w:right w:val="nil"/>
            </w:tcBorders>
            <w:noWrap/>
            <w:vAlign w:val="center"/>
            <w:hideMark/>
          </w:tcPr>
          <w:p w14:paraId="547669CD"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PN-ISO 7729:2001</w:t>
            </w:r>
          </w:p>
        </w:tc>
        <w:tc>
          <w:tcPr>
            <w:tcW w:w="7512" w:type="dxa"/>
            <w:tcBorders>
              <w:top w:val="nil"/>
              <w:left w:val="nil"/>
              <w:bottom w:val="nil"/>
              <w:right w:val="nil"/>
            </w:tcBorders>
            <w:vAlign w:val="center"/>
            <w:hideMark/>
          </w:tcPr>
          <w:p w14:paraId="5DC5C852" w14:textId="77777777" w:rsidR="00282AE9" w:rsidRPr="00282AE9" w:rsidRDefault="00282AE9" w:rsidP="00282AE9">
            <w:pPr>
              <w:spacing w:after="0" w:line="240" w:lineRule="auto"/>
              <w:rPr>
                <w:rFonts w:eastAsia="Times New Roman" w:cs="Calibri"/>
                <w:color w:val="000000"/>
                <w:lang w:eastAsia="pl-PL"/>
              </w:rPr>
            </w:pPr>
            <w:r w:rsidRPr="00282AE9">
              <w:rPr>
                <w:rFonts w:eastAsia="Times New Roman" w:cs="Calibri"/>
                <w:color w:val="000000"/>
                <w:lang w:eastAsia="pl-PL"/>
              </w:rPr>
              <w:t>Złącza pionowe pomiędzy dwoma prefabrykatami betonowymi ściany zewnętrznej - Właściwości, cechy charakterystyczne i kryteria klasyfikacji</w:t>
            </w:r>
          </w:p>
        </w:tc>
      </w:tr>
    </w:tbl>
    <w:p w14:paraId="10057894" w14:textId="77777777" w:rsidR="00282AE9" w:rsidRDefault="00282AE9" w:rsidP="00AC274D">
      <w:pPr>
        <w:spacing w:after="0"/>
        <w:jc w:val="both"/>
        <w:rPr>
          <w:rFonts w:cs="Calibri"/>
          <w:bCs/>
        </w:rPr>
      </w:pPr>
    </w:p>
    <w:p w14:paraId="40DF283C" w14:textId="77777777" w:rsidR="00AC274D" w:rsidRPr="00307154" w:rsidRDefault="00AC274D" w:rsidP="00AC274D">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4C17658E" w14:textId="77777777" w:rsidR="00AC274D" w:rsidRPr="00307154" w:rsidRDefault="00AC274D" w:rsidP="00AC274D">
      <w:pPr>
        <w:spacing w:after="0"/>
        <w:jc w:val="both"/>
        <w:rPr>
          <w:rFonts w:cs="Calibri"/>
          <w:bCs/>
        </w:rPr>
      </w:pPr>
      <w:r w:rsidRPr="00307154">
        <w:rPr>
          <w:rFonts w:cs="Calibri"/>
          <w:bCs/>
        </w:rPr>
        <w:lastRenderedPageBreak/>
        <w:t>Wykonawca będzie przestrzegał praw autorskich i patentowych. Jest zobowiązany do odpowiedzialności za spełnienie wszystkich wymagań prawnych w odniesieniu do używanych opatentowanych urządzeń lub metod.</w:t>
      </w:r>
    </w:p>
    <w:p w14:paraId="389FD7AC" w14:textId="77777777" w:rsidR="0054386D" w:rsidRDefault="0054386D" w:rsidP="00AC274D">
      <w:pPr>
        <w:spacing w:after="0"/>
        <w:jc w:val="both"/>
        <w:rPr>
          <w:rFonts w:cs="Calibri"/>
          <w:bCs/>
        </w:rPr>
      </w:pPr>
    </w:p>
    <w:sectPr w:rsidR="0054386D" w:rsidSect="00FC71E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E689" w14:textId="77777777" w:rsidR="000329F5" w:rsidRDefault="000329F5" w:rsidP="00655659">
      <w:pPr>
        <w:spacing w:after="0" w:line="240" w:lineRule="auto"/>
      </w:pPr>
      <w:r>
        <w:separator/>
      </w:r>
    </w:p>
  </w:endnote>
  <w:endnote w:type="continuationSeparator" w:id="0">
    <w:p w14:paraId="7BAF3C58" w14:textId="77777777" w:rsidR="000329F5" w:rsidRDefault="000329F5"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6A542" w14:textId="77777777" w:rsidR="00D16D1E" w:rsidRDefault="00D16D1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B89D" w14:textId="77777777" w:rsidR="003E1F0A" w:rsidRPr="00B42AED" w:rsidRDefault="003E1F0A"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Pr="00B42AED">
      <w:rPr>
        <w:sz w:val="18"/>
        <w:szCs w:val="18"/>
      </w:rPr>
      <w:fldChar w:fldCharType="begin"/>
    </w:r>
    <w:r w:rsidRPr="00B42AED">
      <w:rPr>
        <w:sz w:val="18"/>
        <w:szCs w:val="18"/>
      </w:rPr>
      <w:instrText xml:space="preserve"> PAGE   \* MERGEFORMAT </w:instrText>
    </w:r>
    <w:r w:rsidRPr="00B42AED">
      <w:rPr>
        <w:sz w:val="18"/>
        <w:szCs w:val="18"/>
      </w:rPr>
      <w:fldChar w:fldCharType="separate"/>
    </w:r>
    <w:r>
      <w:rPr>
        <w:noProof/>
        <w:sz w:val="18"/>
        <w:szCs w:val="18"/>
      </w:rPr>
      <w:t>17</w:t>
    </w:r>
    <w:r w:rsidRPr="00B42AED">
      <w:rPr>
        <w:sz w:val="18"/>
        <w:szCs w:val="18"/>
      </w:rPr>
      <w:fldChar w:fldCharType="end"/>
    </w:r>
  </w:p>
  <w:p w14:paraId="5C001BE0" w14:textId="48180BFB" w:rsidR="003E1F0A" w:rsidRPr="00005E74" w:rsidRDefault="00D628DC" w:rsidP="00005E74">
    <w:pPr>
      <w:pStyle w:val="Stopka"/>
      <w:rPr>
        <w:bCs/>
        <w:sz w:val="18"/>
        <w:szCs w:val="18"/>
      </w:rPr>
    </w:pPr>
    <w:r w:rsidRPr="00D628DC">
      <w:rPr>
        <w:bCs/>
        <w:sz w:val="18"/>
        <w:szCs w:val="18"/>
      </w:rPr>
      <w:t>Konstrukcje żelbetowe</w:t>
    </w:r>
    <w:r w:rsidR="003E1F0A">
      <w:rPr>
        <w:bCs/>
        <w:sz w:val="18"/>
        <w:szCs w:val="18"/>
      </w:rPr>
      <w:t xml:space="preserve"> – </w:t>
    </w:r>
    <w:r w:rsidRPr="00D628DC">
      <w:rPr>
        <w:bCs/>
        <w:sz w:val="18"/>
        <w:szCs w:val="18"/>
      </w:rPr>
      <w:t>B.02.00.00</w:t>
    </w:r>
    <w:r w:rsidR="00D16D1E">
      <w:rPr>
        <w:bCs/>
        <w:sz w:val="18"/>
        <w:szCs w:val="18"/>
      </w:rPr>
      <w:t>-1</w:t>
    </w:r>
  </w:p>
  <w:p w14:paraId="0B3A4D19" w14:textId="77777777" w:rsidR="003E1F0A" w:rsidRPr="00B42AED" w:rsidRDefault="003E1F0A" w:rsidP="00005E74">
    <w:pPr>
      <w:pStyle w:val="Stopka"/>
      <w:jc w:val="center"/>
      <w:rPr>
        <w:sz w:val="18"/>
        <w:szCs w:val="18"/>
      </w:rPr>
    </w:pPr>
    <w:r w:rsidRPr="00B42AED">
      <w:rPr>
        <w:bCs/>
        <w:sz w:val="18"/>
        <w:szCs w:val="18"/>
      </w:rPr>
      <w:tab/>
    </w:r>
    <w:r w:rsidRPr="00B42AED">
      <w:rPr>
        <w:b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5147" w14:textId="77777777" w:rsidR="00D16D1E" w:rsidRDefault="00D16D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0690" w14:textId="77777777" w:rsidR="000329F5" w:rsidRDefault="000329F5" w:rsidP="00655659">
      <w:pPr>
        <w:spacing w:after="0" w:line="240" w:lineRule="auto"/>
      </w:pPr>
      <w:r>
        <w:separator/>
      </w:r>
    </w:p>
  </w:footnote>
  <w:footnote w:type="continuationSeparator" w:id="0">
    <w:p w14:paraId="1CD7FEE1" w14:textId="77777777" w:rsidR="000329F5" w:rsidRDefault="000329F5" w:rsidP="00655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A70B" w14:textId="77777777" w:rsidR="00D16D1E" w:rsidRDefault="00D16D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80C3" w14:textId="77777777" w:rsidR="00D16D1E" w:rsidRDefault="00D16D1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FD5EB" w14:textId="77777777" w:rsidR="00D16D1E" w:rsidRDefault="00D16D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6D39"/>
    <w:multiLevelType w:val="hybridMultilevel"/>
    <w:tmpl w:val="D3224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29C305D"/>
    <w:multiLevelType w:val="hybridMultilevel"/>
    <w:tmpl w:val="3334CC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0C309C"/>
    <w:multiLevelType w:val="hybridMultilevel"/>
    <w:tmpl w:val="23A0F7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9607D2"/>
    <w:multiLevelType w:val="hybridMultilevel"/>
    <w:tmpl w:val="80FCA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1560FFF"/>
    <w:multiLevelType w:val="hybridMultilevel"/>
    <w:tmpl w:val="BD981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D06F27"/>
    <w:multiLevelType w:val="hybridMultilevel"/>
    <w:tmpl w:val="17D25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422156"/>
    <w:multiLevelType w:val="hybridMultilevel"/>
    <w:tmpl w:val="FDE6F57C"/>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43FC4A59"/>
    <w:multiLevelType w:val="hybridMultilevel"/>
    <w:tmpl w:val="EC007D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377F31"/>
    <w:multiLevelType w:val="hybridMultilevel"/>
    <w:tmpl w:val="C102E4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0EC7AC8"/>
    <w:multiLevelType w:val="hybridMultilevel"/>
    <w:tmpl w:val="39E46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880209"/>
    <w:multiLevelType w:val="hybridMultilevel"/>
    <w:tmpl w:val="8C88E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C681629"/>
    <w:multiLevelType w:val="hybridMultilevel"/>
    <w:tmpl w:val="CBFC1A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DF46BC1"/>
    <w:multiLevelType w:val="hybridMultilevel"/>
    <w:tmpl w:val="47866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11E5685"/>
    <w:multiLevelType w:val="hybridMultilevel"/>
    <w:tmpl w:val="EA28C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99170B"/>
    <w:multiLevelType w:val="hybridMultilevel"/>
    <w:tmpl w:val="6AC0C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5014591">
    <w:abstractNumId w:val="7"/>
  </w:num>
  <w:num w:numId="2" w16cid:durableId="1886092620">
    <w:abstractNumId w:val="4"/>
  </w:num>
  <w:num w:numId="3" w16cid:durableId="23017140">
    <w:abstractNumId w:val="6"/>
  </w:num>
  <w:num w:numId="4" w16cid:durableId="1459957325">
    <w:abstractNumId w:val="0"/>
  </w:num>
  <w:num w:numId="5" w16cid:durableId="529419929">
    <w:abstractNumId w:val="16"/>
  </w:num>
  <w:num w:numId="6" w16cid:durableId="65614012">
    <w:abstractNumId w:val="11"/>
  </w:num>
  <w:num w:numId="7" w16cid:durableId="1554581098">
    <w:abstractNumId w:val="10"/>
  </w:num>
  <w:num w:numId="8" w16cid:durableId="706760139">
    <w:abstractNumId w:val="3"/>
  </w:num>
  <w:num w:numId="9" w16cid:durableId="959914276">
    <w:abstractNumId w:val="5"/>
  </w:num>
  <w:num w:numId="10" w16cid:durableId="61953719">
    <w:abstractNumId w:val="15"/>
  </w:num>
  <w:num w:numId="11" w16cid:durableId="1560436739">
    <w:abstractNumId w:val="1"/>
  </w:num>
  <w:num w:numId="12" w16cid:durableId="1635138179">
    <w:abstractNumId w:val="13"/>
  </w:num>
  <w:num w:numId="13" w16cid:durableId="788473173">
    <w:abstractNumId w:val="12"/>
  </w:num>
  <w:num w:numId="14" w16cid:durableId="1208371242">
    <w:abstractNumId w:val="9"/>
  </w:num>
  <w:num w:numId="15" w16cid:durableId="751125917">
    <w:abstractNumId w:val="14"/>
  </w:num>
  <w:num w:numId="16" w16cid:durableId="1816682963">
    <w:abstractNumId w:val="2"/>
  </w:num>
  <w:num w:numId="17" w16cid:durableId="16777330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3A04"/>
    <w:rsid w:val="00015BB4"/>
    <w:rsid w:val="00024DCD"/>
    <w:rsid w:val="000329F5"/>
    <w:rsid w:val="00033BC0"/>
    <w:rsid w:val="00063B9E"/>
    <w:rsid w:val="00064CF3"/>
    <w:rsid w:val="00070D32"/>
    <w:rsid w:val="00074282"/>
    <w:rsid w:val="00076E18"/>
    <w:rsid w:val="00085F68"/>
    <w:rsid w:val="00094858"/>
    <w:rsid w:val="000A0FE2"/>
    <w:rsid w:val="000A1C81"/>
    <w:rsid w:val="000A3FBB"/>
    <w:rsid w:val="000A4F79"/>
    <w:rsid w:val="000A5188"/>
    <w:rsid w:val="000A53AC"/>
    <w:rsid w:val="000B32B3"/>
    <w:rsid w:val="000B76CC"/>
    <w:rsid w:val="000C1DBF"/>
    <w:rsid w:val="000C352D"/>
    <w:rsid w:val="000C3758"/>
    <w:rsid w:val="000C5CF1"/>
    <w:rsid w:val="000C5D0A"/>
    <w:rsid w:val="000C7AA1"/>
    <w:rsid w:val="000C7AB8"/>
    <w:rsid w:val="000E4CD4"/>
    <w:rsid w:val="000E6DD6"/>
    <w:rsid w:val="000F6455"/>
    <w:rsid w:val="00111FD6"/>
    <w:rsid w:val="0011454E"/>
    <w:rsid w:val="001158A0"/>
    <w:rsid w:val="00124150"/>
    <w:rsid w:val="001253DD"/>
    <w:rsid w:val="00142D53"/>
    <w:rsid w:val="001441FB"/>
    <w:rsid w:val="00151F79"/>
    <w:rsid w:val="00152A00"/>
    <w:rsid w:val="00153C8F"/>
    <w:rsid w:val="00155182"/>
    <w:rsid w:val="00156687"/>
    <w:rsid w:val="001600BE"/>
    <w:rsid w:val="0016499A"/>
    <w:rsid w:val="00166E03"/>
    <w:rsid w:val="0017551C"/>
    <w:rsid w:val="00177C7F"/>
    <w:rsid w:val="0018255C"/>
    <w:rsid w:val="0018283C"/>
    <w:rsid w:val="00186C34"/>
    <w:rsid w:val="001A297A"/>
    <w:rsid w:val="001A49A6"/>
    <w:rsid w:val="001A6F1D"/>
    <w:rsid w:val="001B0F4C"/>
    <w:rsid w:val="001B1FFC"/>
    <w:rsid w:val="001C2C53"/>
    <w:rsid w:val="001C6037"/>
    <w:rsid w:val="001C7CA9"/>
    <w:rsid w:val="001D248A"/>
    <w:rsid w:val="001D704A"/>
    <w:rsid w:val="001E591E"/>
    <w:rsid w:val="001E742E"/>
    <w:rsid w:val="001F19D5"/>
    <w:rsid w:val="001F7DD5"/>
    <w:rsid w:val="002001B8"/>
    <w:rsid w:val="00211062"/>
    <w:rsid w:val="00211F58"/>
    <w:rsid w:val="002171BD"/>
    <w:rsid w:val="002204B0"/>
    <w:rsid w:val="00220B17"/>
    <w:rsid w:val="00236023"/>
    <w:rsid w:val="00246F04"/>
    <w:rsid w:val="00253B02"/>
    <w:rsid w:val="0026046B"/>
    <w:rsid w:val="00267910"/>
    <w:rsid w:val="00267B27"/>
    <w:rsid w:val="00282AE9"/>
    <w:rsid w:val="00284EF9"/>
    <w:rsid w:val="00285AD6"/>
    <w:rsid w:val="0029056C"/>
    <w:rsid w:val="002A0AD7"/>
    <w:rsid w:val="002A184F"/>
    <w:rsid w:val="002A544F"/>
    <w:rsid w:val="002B0681"/>
    <w:rsid w:val="002C1D4C"/>
    <w:rsid w:val="002C4322"/>
    <w:rsid w:val="002C5584"/>
    <w:rsid w:val="002C590A"/>
    <w:rsid w:val="002C7102"/>
    <w:rsid w:val="002D3A74"/>
    <w:rsid w:val="002D47C9"/>
    <w:rsid w:val="002E0EFE"/>
    <w:rsid w:val="002E392C"/>
    <w:rsid w:val="00301997"/>
    <w:rsid w:val="003041FA"/>
    <w:rsid w:val="003061A7"/>
    <w:rsid w:val="003070F5"/>
    <w:rsid w:val="00307154"/>
    <w:rsid w:val="00317EC9"/>
    <w:rsid w:val="00320B26"/>
    <w:rsid w:val="003237D3"/>
    <w:rsid w:val="00330ABC"/>
    <w:rsid w:val="0033371B"/>
    <w:rsid w:val="00335E42"/>
    <w:rsid w:val="00350286"/>
    <w:rsid w:val="003527DE"/>
    <w:rsid w:val="00361DD9"/>
    <w:rsid w:val="00362141"/>
    <w:rsid w:val="00370EA7"/>
    <w:rsid w:val="00374B7D"/>
    <w:rsid w:val="003934A4"/>
    <w:rsid w:val="003972AF"/>
    <w:rsid w:val="003A0966"/>
    <w:rsid w:val="003B1963"/>
    <w:rsid w:val="003C097C"/>
    <w:rsid w:val="003C7F45"/>
    <w:rsid w:val="003D48F5"/>
    <w:rsid w:val="003E1F0A"/>
    <w:rsid w:val="003E2F71"/>
    <w:rsid w:val="003E718D"/>
    <w:rsid w:val="003F288C"/>
    <w:rsid w:val="00404392"/>
    <w:rsid w:val="0040464E"/>
    <w:rsid w:val="00405DC4"/>
    <w:rsid w:val="00411154"/>
    <w:rsid w:val="004131AD"/>
    <w:rsid w:val="0041493E"/>
    <w:rsid w:val="00442373"/>
    <w:rsid w:val="0045733E"/>
    <w:rsid w:val="004636B2"/>
    <w:rsid w:val="00472C91"/>
    <w:rsid w:val="0047322C"/>
    <w:rsid w:val="00473BD8"/>
    <w:rsid w:val="004779CC"/>
    <w:rsid w:val="00481EC2"/>
    <w:rsid w:val="00487D2B"/>
    <w:rsid w:val="0049630E"/>
    <w:rsid w:val="0049797D"/>
    <w:rsid w:val="004A5B05"/>
    <w:rsid w:val="004A6A4F"/>
    <w:rsid w:val="004B48D7"/>
    <w:rsid w:val="004C15D4"/>
    <w:rsid w:val="004C4E7E"/>
    <w:rsid w:val="004D18F1"/>
    <w:rsid w:val="005021CA"/>
    <w:rsid w:val="00517FE3"/>
    <w:rsid w:val="00523239"/>
    <w:rsid w:val="00526E4A"/>
    <w:rsid w:val="005309F8"/>
    <w:rsid w:val="005314FC"/>
    <w:rsid w:val="00535676"/>
    <w:rsid w:val="00536F04"/>
    <w:rsid w:val="0054386D"/>
    <w:rsid w:val="00546D49"/>
    <w:rsid w:val="00547B49"/>
    <w:rsid w:val="00547DC4"/>
    <w:rsid w:val="005516F8"/>
    <w:rsid w:val="005530D2"/>
    <w:rsid w:val="00553614"/>
    <w:rsid w:val="00554265"/>
    <w:rsid w:val="00554BB6"/>
    <w:rsid w:val="005736CA"/>
    <w:rsid w:val="00590204"/>
    <w:rsid w:val="005928AF"/>
    <w:rsid w:val="00594B84"/>
    <w:rsid w:val="005A0AD9"/>
    <w:rsid w:val="005A5649"/>
    <w:rsid w:val="005B457C"/>
    <w:rsid w:val="005B6DF4"/>
    <w:rsid w:val="005C0D2F"/>
    <w:rsid w:val="005D7E9B"/>
    <w:rsid w:val="005E03FC"/>
    <w:rsid w:val="005E2FD5"/>
    <w:rsid w:val="005E3A0F"/>
    <w:rsid w:val="005E4342"/>
    <w:rsid w:val="005E66F6"/>
    <w:rsid w:val="005E7A61"/>
    <w:rsid w:val="005E7EE0"/>
    <w:rsid w:val="005F0497"/>
    <w:rsid w:val="005F7645"/>
    <w:rsid w:val="00607BD9"/>
    <w:rsid w:val="00615A75"/>
    <w:rsid w:val="006171E4"/>
    <w:rsid w:val="006246A1"/>
    <w:rsid w:val="0063023F"/>
    <w:rsid w:val="00651557"/>
    <w:rsid w:val="006522D7"/>
    <w:rsid w:val="0065513D"/>
    <w:rsid w:val="00655659"/>
    <w:rsid w:val="00656376"/>
    <w:rsid w:val="00683F5A"/>
    <w:rsid w:val="006924D2"/>
    <w:rsid w:val="006A3F97"/>
    <w:rsid w:val="006B037E"/>
    <w:rsid w:val="006B1FF4"/>
    <w:rsid w:val="006D0FFC"/>
    <w:rsid w:val="006E16FE"/>
    <w:rsid w:val="006E181C"/>
    <w:rsid w:val="006E4CD1"/>
    <w:rsid w:val="006F3820"/>
    <w:rsid w:val="006F4696"/>
    <w:rsid w:val="006F6DA5"/>
    <w:rsid w:val="006F7091"/>
    <w:rsid w:val="00703FA4"/>
    <w:rsid w:val="00710B87"/>
    <w:rsid w:val="00714A78"/>
    <w:rsid w:val="007322A6"/>
    <w:rsid w:val="00743365"/>
    <w:rsid w:val="00743E7A"/>
    <w:rsid w:val="00744F3B"/>
    <w:rsid w:val="00753888"/>
    <w:rsid w:val="007564C2"/>
    <w:rsid w:val="00762233"/>
    <w:rsid w:val="00772790"/>
    <w:rsid w:val="0077520E"/>
    <w:rsid w:val="00781B78"/>
    <w:rsid w:val="00791072"/>
    <w:rsid w:val="007A4390"/>
    <w:rsid w:val="007A50B9"/>
    <w:rsid w:val="007A778E"/>
    <w:rsid w:val="007B3501"/>
    <w:rsid w:val="007B6000"/>
    <w:rsid w:val="007B7460"/>
    <w:rsid w:val="007C57D7"/>
    <w:rsid w:val="007C618B"/>
    <w:rsid w:val="007D125A"/>
    <w:rsid w:val="007D7D96"/>
    <w:rsid w:val="007E54B1"/>
    <w:rsid w:val="007F4690"/>
    <w:rsid w:val="00802048"/>
    <w:rsid w:val="008079C6"/>
    <w:rsid w:val="008105FE"/>
    <w:rsid w:val="008113ED"/>
    <w:rsid w:val="0081509F"/>
    <w:rsid w:val="00815525"/>
    <w:rsid w:val="0081673C"/>
    <w:rsid w:val="0082269B"/>
    <w:rsid w:val="00826B3B"/>
    <w:rsid w:val="008341D6"/>
    <w:rsid w:val="00837586"/>
    <w:rsid w:val="00843D12"/>
    <w:rsid w:val="00845133"/>
    <w:rsid w:val="008505A9"/>
    <w:rsid w:val="00853921"/>
    <w:rsid w:val="00862844"/>
    <w:rsid w:val="00864A20"/>
    <w:rsid w:val="008705DE"/>
    <w:rsid w:val="00870715"/>
    <w:rsid w:val="00872E75"/>
    <w:rsid w:val="00895333"/>
    <w:rsid w:val="008A7C37"/>
    <w:rsid w:val="008C3BB6"/>
    <w:rsid w:val="008C6ED7"/>
    <w:rsid w:val="008E1C3A"/>
    <w:rsid w:val="008E3C73"/>
    <w:rsid w:val="008E4390"/>
    <w:rsid w:val="008F46A2"/>
    <w:rsid w:val="009077FF"/>
    <w:rsid w:val="00912D8A"/>
    <w:rsid w:val="009174D5"/>
    <w:rsid w:val="00927958"/>
    <w:rsid w:val="00931E18"/>
    <w:rsid w:val="00934158"/>
    <w:rsid w:val="00935B55"/>
    <w:rsid w:val="009430E5"/>
    <w:rsid w:val="00944125"/>
    <w:rsid w:val="0094457F"/>
    <w:rsid w:val="00954301"/>
    <w:rsid w:val="00965418"/>
    <w:rsid w:val="00965A04"/>
    <w:rsid w:val="00971D77"/>
    <w:rsid w:val="00973142"/>
    <w:rsid w:val="0097394A"/>
    <w:rsid w:val="00975306"/>
    <w:rsid w:val="00976CF7"/>
    <w:rsid w:val="0098262F"/>
    <w:rsid w:val="00983CC7"/>
    <w:rsid w:val="00986526"/>
    <w:rsid w:val="009935A8"/>
    <w:rsid w:val="009B0FCB"/>
    <w:rsid w:val="009C2999"/>
    <w:rsid w:val="009C44C9"/>
    <w:rsid w:val="009D2BF2"/>
    <w:rsid w:val="009D6A87"/>
    <w:rsid w:val="009E4C51"/>
    <w:rsid w:val="009E7CFC"/>
    <w:rsid w:val="009F1B2D"/>
    <w:rsid w:val="00A05F47"/>
    <w:rsid w:val="00A160EB"/>
    <w:rsid w:val="00A1644D"/>
    <w:rsid w:val="00A24283"/>
    <w:rsid w:val="00A25CE4"/>
    <w:rsid w:val="00A31ACF"/>
    <w:rsid w:val="00A34618"/>
    <w:rsid w:val="00A414CB"/>
    <w:rsid w:val="00A44972"/>
    <w:rsid w:val="00A451C3"/>
    <w:rsid w:val="00A47A48"/>
    <w:rsid w:val="00A60DAF"/>
    <w:rsid w:val="00A70914"/>
    <w:rsid w:val="00A80C69"/>
    <w:rsid w:val="00A8315C"/>
    <w:rsid w:val="00A94220"/>
    <w:rsid w:val="00A95F67"/>
    <w:rsid w:val="00AA5F79"/>
    <w:rsid w:val="00AB0059"/>
    <w:rsid w:val="00AB09A1"/>
    <w:rsid w:val="00AB1097"/>
    <w:rsid w:val="00AC274D"/>
    <w:rsid w:val="00AC7072"/>
    <w:rsid w:val="00AC7B7C"/>
    <w:rsid w:val="00AD0DD9"/>
    <w:rsid w:val="00AD5FAA"/>
    <w:rsid w:val="00AF243F"/>
    <w:rsid w:val="00B05B81"/>
    <w:rsid w:val="00B05EEC"/>
    <w:rsid w:val="00B13E85"/>
    <w:rsid w:val="00B15092"/>
    <w:rsid w:val="00B16B5E"/>
    <w:rsid w:val="00B201B2"/>
    <w:rsid w:val="00B20ADB"/>
    <w:rsid w:val="00B20E38"/>
    <w:rsid w:val="00B273A5"/>
    <w:rsid w:val="00B31432"/>
    <w:rsid w:val="00B324EE"/>
    <w:rsid w:val="00B37F20"/>
    <w:rsid w:val="00B41618"/>
    <w:rsid w:val="00B512F9"/>
    <w:rsid w:val="00B53C98"/>
    <w:rsid w:val="00B650AE"/>
    <w:rsid w:val="00B80BFE"/>
    <w:rsid w:val="00B82E65"/>
    <w:rsid w:val="00B84733"/>
    <w:rsid w:val="00B85E2E"/>
    <w:rsid w:val="00B9061D"/>
    <w:rsid w:val="00BA06D9"/>
    <w:rsid w:val="00BA30AA"/>
    <w:rsid w:val="00BA5DA3"/>
    <w:rsid w:val="00BA73A4"/>
    <w:rsid w:val="00BB2867"/>
    <w:rsid w:val="00BB41FD"/>
    <w:rsid w:val="00BE1F78"/>
    <w:rsid w:val="00BE5C3A"/>
    <w:rsid w:val="00BF700E"/>
    <w:rsid w:val="00C05A16"/>
    <w:rsid w:val="00C15CBB"/>
    <w:rsid w:val="00C22D26"/>
    <w:rsid w:val="00C24FBD"/>
    <w:rsid w:val="00C26ADD"/>
    <w:rsid w:val="00C347DC"/>
    <w:rsid w:val="00C37FD7"/>
    <w:rsid w:val="00C403FD"/>
    <w:rsid w:val="00C4081D"/>
    <w:rsid w:val="00C474B6"/>
    <w:rsid w:val="00C7015A"/>
    <w:rsid w:val="00C70DE3"/>
    <w:rsid w:val="00C731F6"/>
    <w:rsid w:val="00C8457F"/>
    <w:rsid w:val="00C85555"/>
    <w:rsid w:val="00CB1438"/>
    <w:rsid w:val="00CB59F7"/>
    <w:rsid w:val="00CB7171"/>
    <w:rsid w:val="00CC7BCD"/>
    <w:rsid w:val="00CC7BD6"/>
    <w:rsid w:val="00CD4624"/>
    <w:rsid w:val="00CD65F1"/>
    <w:rsid w:val="00CE1BB0"/>
    <w:rsid w:val="00CE2EA4"/>
    <w:rsid w:val="00CE4010"/>
    <w:rsid w:val="00CE4201"/>
    <w:rsid w:val="00CE42BF"/>
    <w:rsid w:val="00CF1F23"/>
    <w:rsid w:val="00CF63B0"/>
    <w:rsid w:val="00D03DAA"/>
    <w:rsid w:val="00D10872"/>
    <w:rsid w:val="00D15DC7"/>
    <w:rsid w:val="00D16D1E"/>
    <w:rsid w:val="00D17332"/>
    <w:rsid w:val="00D225BC"/>
    <w:rsid w:val="00D279D6"/>
    <w:rsid w:val="00D345F4"/>
    <w:rsid w:val="00D34F31"/>
    <w:rsid w:val="00D36824"/>
    <w:rsid w:val="00D42B7A"/>
    <w:rsid w:val="00D52676"/>
    <w:rsid w:val="00D53F66"/>
    <w:rsid w:val="00D55C10"/>
    <w:rsid w:val="00D628DC"/>
    <w:rsid w:val="00D77FC4"/>
    <w:rsid w:val="00DA05DF"/>
    <w:rsid w:val="00DA69A8"/>
    <w:rsid w:val="00DA78F0"/>
    <w:rsid w:val="00DB2342"/>
    <w:rsid w:val="00DB55DC"/>
    <w:rsid w:val="00DC5CA3"/>
    <w:rsid w:val="00DC6F40"/>
    <w:rsid w:val="00DD163C"/>
    <w:rsid w:val="00DD7D35"/>
    <w:rsid w:val="00DF04BA"/>
    <w:rsid w:val="00E077F9"/>
    <w:rsid w:val="00E10310"/>
    <w:rsid w:val="00E1486B"/>
    <w:rsid w:val="00E168B2"/>
    <w:rsid w:val="00E22B0C"/>
    <w:rsid w:val="00E23849"/>
    <w:rsid w:val="00E255CD"/>
    <w:rsid w:val="00E26F36"/>
    <w:rsid w:val="00E26FE5"/>
    <w:rsid w:val="00E30025"/>
    <w:rsid w:val="00E316E2"/>
    <w:rsid w:val="00E34CE4"/>
    <w:rsid w:val="00E46A79"/>
    <w:rsid w:val="00E60F37"/>
    <w:rsid w:val="00E617E5"/>
    <w:rsid w:val="00E72A18"/>
    <w:rsid w:val="00E76041"/>
    <w:rsid w:val="00E76594"/>
    <w:rsid w:val="00E81192"/>
    <w:rsid w:val="00E831CF"/>
    <w:rsid w:val="00E90EB1"/>
    <w:rsid w:val="00E91FA3"/>
    <w:rsid w:val="00E94734"/>
    <w:rsid w:val="00EA1516"/>
    <w:rsid w:val="00EA7250"/>
    <w:rsid w:val="00EB140E"/>
    <w:rsid w:val="00EB7764"/>
    <w:rsid w:val="00EC066A"/>
    <w:rsid w:val="00EC2B45"/>
    <w:rsid w:val="00EC2F75"/>
    <w:rsid w:val="00EC443F"/>
    <w:rsid w:val="00EC704C"/>
    <w:rsid w:val="00ED5C43"/>
    <w:rsid w:val="00ED6BCB"/>
    <w:rsid w:val="00EF3BAF"/>
    <w:rsid w:val="00EF7CD5"/>
    <w:rsid w:val="00F11266"/>
    <w:rsid w:val="00F128B5"/>
    <w:rsid w:val="00F23575"/>
    <w:rsid w:val="00F329F4"/>
    <w:rsid w:val="00F32D64"/>
    <w:rsid w:val="00F36576"/>
    <w:rsid w:val="00F3668E"/>
    <w:rsid w:val="00F40D9C"/>
    <w:rsid w:val="00F42187"/>
    <w:rsid w:val="00F42C5E"/>
    <w:rsid w:val="00F454D9"/>
    <w:rsid w:val="00F65C08"/>
    <w:rsid w:val="00F67181"/>
    <w:rsid w:val="00F67781"/>
    <w:rsid w:val="00F80D2C"/>
    <w:rsid w:val="00F866F3"/>
    <w:rsid w:val="00F86FA9"/>
    <w:rsid w:val="00F9102F"/>
    <w:rsid w:val="00FA0C80"/>
    <w:rsid w:val="00FB4009"/>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FDF796"/>
  <w15:docId w15:val="{D66FFB2F-2317-4316-B908-BD4B3C92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styleId="Pogrubienie">
    <w:name w:val="Strong"/>
    <w:basedOn w:val="Domylnaczcionkaakapitu"/>
    <w:uiPriority w:val="22"/>
    <w:qFormat/>
    <w:rsid w:val="003E1F0A"/>
    <w:rPr>
      <w:b/>
      <w:bCs/>
    </w:rPr>
  </w:style>
  <w:style w:type="table" w:styleId="Tabela-Siatka">
    <w:name w:val="Table Grid"/>
    <w:basedOn w:val="Standardowy"/>
    <w:uiPriority w:val="59"/>
    <w:rsid w:val="00E23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4342"/>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240409460">
      <w:bodyDiv w:val="1"/>
      <w:marLeft w:val="0"/>
      <w:marRight w:val="0"/>
      <w:marTop w:val="0"/>
      <w:marBottom w:val="0"/>
      <w:divBdr>
        <w:top w:val="none" w:sz="0" w:space="0" w:color="auto"/>
        <w:left w:val="none" w:sz="0" w:space="0" w:color="auto"/>
        <w:bottom w:val="none" w:sz="0" w:space="0" w:color="auto"/>
        <w:right w:val="none" w:sz="0" w:space="0" w:color="auto"/>
      </w:divBdr>
    </w:div>
    <w:div w:id="361175111">
      <w:bodyDiv w:val="1"/>
      <w:marLeft w:val="0"/>
      <w:marRight w:val="0"/>
      <w:marTop w:val="0"/>
      <w:marBottom w:val="0"/>
      <w:divBdr>
        <w:top w:val="none" w:sz="0" w:space="0" w:color="auto"/>
        <w:left w:val="none" w:sz="0" w:space="0" w:color="auto"/>
        <w:bottom w:val="none" w:sz="0" w:space="0" w:color="auto"/>
        <w:right w:val="none" w:sz="0" w:space="0" w:color="auto"/>
      </w:divBdr>
    </w:div>
    <w:div w:id="442924793">
      <w:bodyDiv w:val="1"/>
      <w:marLeft w:val="0"/>
      <w:marRight w:val="0"/>
      <w:marTop w:val="0"/>
      <w:marBottom w:val="0"/>
      <w:divBdr>
        <w:top w:val="none" w:sz="0" w:space="0" w:color="auto"/>
        <w:left w:val="none" w:sz="0" w:space="0" w:color="auto"/>
        <w:bottom w:val="none" w:sz="0" w:space="0" w:color="auto"/>
        <w:right w:val="none" w:sz="0" w:space="0" w:color="auto"/>
      </w:divBdr>
    </w:div>
    <w:div w:id="505677552">
      <w:bodyDiv w:val="1"/>
      <w:marLeft w:val="0"/>
      <w:marRight w:val="0"/>
      <w:marTop w:val="0"/>
      <w:marBottom w:val="0"/>
      <w:divBdr>
        <w:top w:val="none" w:sz="0" w:space="0" w:color="auto"/>
        <w:left w:val="none" w:sz="0" w:space="0" w:color="auto"/>
        <w:bottom w:val="none" w:sz="0" w:space="0" w:color="auto"/>
        <w:right w:val="none" w:sz="0" w:space="0" w:color="auto"/>
      </w:divBdr>
    </w:div>
    <w:div w:id="784009840">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56038314">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180050684">
      <w:bodyDiv w:val="1"/>
      <w:marLeft w:val="0"/>
      <w:marRight w:val="0"/>
      <w:marTop w:val="0"/>
      <w:marBottom w:val="0"/>
      <w:divBdr>
        <w:top w:val="none" w:sz="0" w:space="0" w:color="auto"/>
        <w:left w:val="none" w:sz="0" w:space="0" w:color="auto"/>
        <w:bottom w:val="none" w:sz="0" w:space="0" w:color="auto"/>
        <w:right w:val="none" w:sz="0" w:space="0" w:color="auto"/>
      </w:divBdr>
    </w:div>
    <w:div w:id="1255826271">
      <w:bodyDiv w:val="1"/>
      <w:marLeft w:val="0"/>
      <w:marRight w:val="0"/>
      <w:marTop w:val="0"/>
      <w:marBottom w:val="0"/>
      <w:divBdr>
        <w:top w:val="none" w:sz="0" w:space="0" w:color="auto"/>
        <w:left w:val="none" w:sz="0" w:space="0" w:color="auto"/>
        <w:bottom w:val="none" w:sz="0" w:space="0" w:color="auto"/>
        <w:right w:val="none" w:sz="0" w:space="0" w:color="auto"/>
      </w:divBdr>
    </w:div>
    <w:div w:id="1341541974">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651788479">
      <w:bodyDiv w:val="1"/>
      <w:marLeft w:val="0"/>
      <w:marRight w:val="0"/>
      <w:marTop w:val="0"/>
      <w:marBottom w:val="0"/>
      <w:divBdr>
        <w:top w:val="none" w:sz="0" w:space="0" w:color="auto"/>
        <w:left w:val="none" w:sz="0" w:space="0" w:color="auto"/>
        <w:bottom w:val="none" w:sz="0" w:space="0" w:color="auto"/>
        <w:right w:val="none" w:sz="0" w:space="0" w:color="auto"/>
      </w:divBdr>
    </w:div>
    <w:div w:id="1694182766">
      <w:bodyDiv w:val="1"/>
      <w:marLeft w:val="0"/>
      <w:marRight w:val="0"/>
      <w:marTop w:val="0"/>
      <w:marBottom w:val="0"/>
      <w:divBdr>
        <w:top w:val="none" w:sz="0" w:space="0" w:color="auto"/>
        <w:left w:val="none" w:sz="0" w:space="0" w:color="auto"/>
        <w:bottom w:val="none" w:sz="0" w:space="0" w:color="auto"/>
        <w:right w:val="none" w:sz="0" w:space="0" w:color="auto"/>
      </w:divBdr>
    </w:div>
    <w:div w:id="1845899561">
      <w:bodyDiv w:val="1"/>
      <w:marLeft w:val="0"/>
      <w:marRight w:val="0"/>
      <w:marTop w:val="0"/>
      <w:marBottom w:val="0"/>
      <w:divBdr>
        <w:top w:val="none" w:sz="0" w:space="0" w:color="auto"/>
        <w:left w:val="none" w:sz="0" w:space="0" w:color="auto"/>
        <w:bottom w:val="none" w:sz="0" w:space="0" w:color="auto"/>
        <w:right w:val="none" w:sz="0" w:space="0" w:color="auto"/>
      </w:divBdr>
    </w:div>
    <w:div w:id="1914971634">
      <w:bodyDiv w:val="1"/>
      <w:marLeft w:val="0"/>
      <w:marRight w:val="0"/>
      <w:marTop w:val="0"/>
      <w:marBottom w:val="0"/>
      <w:divBdr>
        <w:top w:val="none" w:sz="0" w:space="0" w:color="auto"/>
        <w:left w:val="none" w:sz="0" w:space="0" w:color="auto"/>
        <w:bottom w:val="none" w:sz="0" w:space="0" w:color="auto"/>
        <w:right w:val="none" w:sz="0" w:space="0" w:color="auto"/>
      </w:divBdr>
    </w:div>
    <w:div w:id="20509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59BB3-407D-4A73-8EFE-621F74E4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33</Pages>
  <Words>12560</Words>
  <Characters>75364</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8</cp:revision>
  <cp:lastPrinted>2012-02-27T14:04:00Z</cp:lastPrinted>
  <dcterms:created xsi:type="dcterms:W3CDTF">2022-06-06T17:50:00Z</dcterms:created>
  <dcterms:modified xsi:type="dcterms:W3CDTF">2025-12-07T19:14:00Z</dcterms:modified>
</cp:coreProperties>
</file>